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0"/>
        <w:jc w:val="center"/>
      </w:pPr>
      <w:r>
        <w:rPr>
          <w:rFonts w:ascii="方正小标宋简体" w:hAnsi="方正小标宋简体" w:eastAsia="方正小标宋简体"/>
          <w:b/>
          <w:sz w:val="44"/>
        </w:rPr>
        <w:t>授权委托书</w:t>
      </w:r>
    </w:p>
    <w:p>
      <w:pPr>
        <w:spacing w:line="360" w:lineRule="auto" w:after="0"/>
        <w:jc w:val="center"/>
      </w:pPr>
      <w:r>
        <w:rPr>
          <w:rFonts w:ascii="仿宋" w:hAnsi="仿宋" w:eastAsia="仿宋"/>
          <w:b w:val="0"/>
          <w:sz w:val="30"/>
        </w:rPr>
        <w:t>（行政诉讼第一审、第二审通用；确认及继续授权版）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一审案号：（2025）湘8601行初1509号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二审案号：（2026）湘01行终413号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委托人一：黄敏，一审原告、二审上诉人。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委托人二：熊玲翠，一审原告、二审上诉人。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受托人一：李燕，系熊玲翠之女、黄敏之侄女。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受托人二：冯宇，系熊玲翠之女婿、黄敏之侄女婿。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委托人与长沙市开福区住房和城乡建设局不履行行政职责一案，一审由长沙铁路运输法院审理，二审由湖南省长沙市中级人民法院审理。现两委托人共同委托李燕、冯宇作为本案诉讼代理人。</w:t>
      </w:r>
    </w:p>
    <w:p>
      <w:pPr>
        <w:spacing w:line="360" w:lineRule="auto" w:after="0"/>
        <w:ind w:firstLine="0"/>
      </w:pPr>
      <w:r>
        <w:rPr>
          <w:rFonts w:ascii="黑体" w:hAnsi="黑体" w:eastAsia="黑体"/>
          <w:b/>
          <w:sz w:val="30"/>
        </w:rPr>
        <w:t>一、委托阶段和期限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本授权适用于本案第一审程序，以及因不服第一审裁判而提起上诉后的第二审程序；包括一、二审的立案、庭前准备、证据交换、询问、开庭审理、宣判、送达、补正及其他与审理直接相关的诉讼事项。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本授权自两委托人签署之日起生效，至本案第二审裁判文书依法送达两委托人之日终止。第二审裁定将本案发回重审的，本授权继续适用于发回重审后的第一审程序，直至该重审程序裁判文书依法送达两委托人之日终止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本授权不包括审判监督、再审和执行程序；如需代理前述程序，两委托人另行书面授权。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两委托人确认：李燕、冯宇在本授权书签署前，依据原授权委托书在本案第一审程序中已经实施的诉讼行为，在原授权范围内均系两委托人的真实意思表示，两委托人予以确认。原授权至今未被解除或者变更。</w:t>
      </w:r>
    </w:p>
    <w:p>
      <w:pPr>
        <w:spacing w:line="360" w:lineRule="auto" w:after="0"/>
        <w:ind w:firstLine="0"/>
      </w:pPr>
      <w:r>
        <w:rPr>
          <w:rFonts w:ascii="黑体" w:hAnsi="黑体" w:eastAsia="黑体"/>
          <w:b/>
          <w:sz w:val="30"/>
        </w:rPr>
        <w:t>二、代理权限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代理权限为特别授权。除本条第（六）项约定的重大处分事项外，李燕、冯宇均可单独行使下列代理权限，无须两人共同到庭：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（一）代为起诉、参加庭前会议、证据交换、询问和庭审，陈述事实与理由，发表举证、质证、法庭辩论和法律适用意见；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（二）代为调查、收集、整理、提交证据及其他诉讼材料，申请调查取证、证据保全、鉴定、勘验、证人或者有关人员出庭，申请法院责令有关主体提交证据；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（三）代为提出、补充和说明诉讼请求、上诉请求及其事实和理由，代为提交起诉状、上诉状、代理意见、申请书、说明、声明和其他诉讼文书；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（四）代为提起上诉并参加第二审程序，代为提出回避申请、程序异议和其他程序性申请；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（五）代为签署或者确认庭审笔录、询问笔录、证据目录、送达地址确认书及其他程序性文件；代为签收传票、通知书、决定书、裁定书、判决书及其他诉讼文书；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（六）经黄敏、熊玲翠两人就具体事项另行作出一致书面确认后，代为承认、放弃或者变更诉讼请求、上诉请求，代为申请撤诉或者撤回上诉，代为进行法律允许范围内的协调、和解并签署相应文件；任何一名受托人不得仅凭本授权书单独实施前述重大处分行为；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（七）代为办理与本案第一审、第二审及发回重审程序直接相关的其他诉讼事项。</w:t>
      </w:r>
    </w:p>
    <w:p>
      <w:pPr>
        <w:spacing w:line="360" w:lineRule="auto" w:after="0"/>
        <w:ind w:firstLine="0"/>
      </w:pPr>
      <w:r>
        <w:rPr>
          <w:rFonts w:ascii="黑体" w:hAnsi="黑体" w:eastAsia="黑体"/>
          <w:b/>
          <w:sz w:val="30"/>
        </w:rPr>
        <w:t>三、授权效力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两名受托人在上述授权范围内依法实施的诉讼行为，对相应委托人发生法律效力。任何一名委托人的签名只能表示其本人作出授权，不能代替另一名委托人作出授权；本授权书须由黄敏、熊玲翠分别亲笔签名或者捺印。</w:t>
      </w:r>
    </w:p>
    <w:p>
      <w:pPr>
        <w:spacing w:line="360" w:lineRule="auto" w:after="0"/>
        <w:ind w:firstLine="567"/>
      </w:pPr>
      <w:r>
        <w:rPr>
          <w:rFonts w:ascii="仿宋" w:hAnsi="仿宋" w:eastAsia="仿宋"/>
          <w:b w:val="0"/>
          <w:sz w:val="30"/>
        </w:rPr>
        <w:t>两委托人解除或者变更本授权的，应当及时书面报告受理案件的人民法院；在人民法院收到书面报告前，原授权的外部效力由人民法院依法审查确定。</w:t>
      </w:r>
    </w:p>
    <w:p>
      <w:pPr>
        <w:spacing w:line="360" w:lineRule="auto" w:after="0"/>
        <w:ind w:firstLine="0"/>
      </w:pPr>
      <w:r>
        <w:rPr>
          <w:rFonts w:ascii="仿宋" w:hAnsi="仿宋" w:eastAsia="仿宋"/>
          <w:b w:val="0"/>
          <w:sz w:val="30"/>
        </w:rPr>
        <w:t>委托人黄敏（签名并捺印）：</w:t>
      </w:r>
    </w:p>
    <w:p>
      <w:pPr>
        <w:spacing w:line="360" w:lineRule="auto" w:after="0"/>
        <w:ind w:firstLine="0"/>
      </w:pPr>
      <w:r>
        <w:rPr>
          <w:rFonts w:ascii="仿宋" w:hAnsi="仿宋" w:eastAsia="仿宋"/>
          <w:b w:val="0"/>
          <w:sz w:val="30"/>
        </w:rPr>
        <w:t>委托人熊玲翠（签名并捺印）：</w:t>
      </w:r>
    </w:p>
    <w:p>
      <w:pPr>
        <w:spacing w:line="360" w:lineRule="auto" w:after="0"/>
        <w:ind w:firstLine="0"/>
      </w:pPr>
      <w:r>
        <w:rPr>
          <w:rFonts w:ascii="仿宋" w:hAnsi="仿宋" w:eastAsia="仿宋"/>
          <w:b w:val="0"/>
          <w:sz w:val="30"/>
        </w:rPr>
        <w:t>受托人李燕（签名）：</w:t>
      </w:r>
    </w:p>
    <w:p>
      <w:pPr>
        <w:spacing w:line="360" w:lineRule="auto" w:after="0"/>
        <w:ind w:firstLine="0"/>
      </w:pPr>
      <w:r>
        <w:rPr>
          <w:rFonts w:ascii="仿宋" w:hAnsi="仿宋" w:eastAsia="仿宋"/>
          <w:b w:val="0"/>
          <w:sz w:val="30"/>
        </w:rPr>
        <w:t>受托人冯宇（签名）：</w:t>
      </w:r>
    </w:p>
    <w:p>
      <w:pPr>
        <w:spacing w:line="360" w:lineRule="auto" w:after="0"/>
        <w:ind w:firstLine="0"/>
      </w:pPr>
      <w:r>
        <w:rPr>
          <w:rFonts w:ascii="仿宋" w:hAnsi="仿宋" w:eastAsia="仿宋"/>
          <w:b w:val="0"/>
          <w:sz w:val="30"/>
        </w:rPr>
        <w:t>签署日期：       年     月     日</w:t>
      </w:r>
    </w:p>
    <w:sectPr w:rsidR="00FC693F" w:rsidRPr="0006063C" w:rsidSect="00034616">
      <w:footerReference w:type="default" r:id="rId9"/>
      <w:pgSz w:w="11906" w:h="16838"/>
      <w:pgMar w:top="1587" w:right="158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仿宋" w:hAnsi="仿宋" w:eastAsia="仿宋"/>
        <w:b w:val="0"/>
        <w:sz w:val="21"/>
      </w:rPr>
      <w:t xml:space="preserve">第 </w:t>
    </w:r>
    <w:fldSimple w:instr="PAGE"/>
    <w:r>
      <w:rPr>
        <w:rFonts w:ascii="仿宋" w:hAnsi="仿宋" w:eastAsia="仿宋"/>
        <w:b w:val="0"/>
        <w:sz w:val="21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</w:pPr>
    <w:rPr>
      <w:rFonts w:ascii="仿宋" w:hAnsi="仿宋" w:eastAsia="仿宋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