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before="0" w:after="240"/>
        <w:jc w:val="center"/>
      </w:pPr>
      <w:r>
        <w:rPr>
          <w:rFonts w:ascii="宋体" w:hAnsi="宋体" w:eastAsia="宋体"/>
          <w:b/>
          <w:sz w:val="44"/>
        </w:rPr>
        <w:t>黄敏行政诉讼二审代理授权效力及异地旅游期间办理授权手续专项分析</w:t>
      </w:r>
    </w:p>
    <w:p>
      <w:pPr>
        <w:spacing w:line="360" w:lineRule="auto" w:before="0" w:after="0"/>
      </w:pPr>
      <w:r>
        <w:rPr>
          <w:rFonts w:ascii="仿宋" w:hAnsi="仿宋" w:eastAsia="仿宋"/>
          <w:b w:val="0"/>
          <w:sz w:val="25"/>
        </w:rPr>
        <w:t>更新日期：2026年7月19日</w:t>
      </w:r>
    </w:p>
    <w:p>
      <w:pPr>
        <w:spacing w:line="360" w:lineRule="auto" w:before="0" w:after="0"/>
      </w:pPr>
      <w:r>
        <w:rPr>
          <w:rFonts w:ascii="仿宋" w:hAnsi="仿宋" w:eastAsia="仿宋"/>
          <w:b w:val="0"/>
          <w:sz w:val="25"/>
        </w:rPr>
        <w:t>一审法院：长沙铁路运输法院</w:t>
      </w:r>
    </w:p>
    <w:p>
      <w:pPr>
        <w:spacing w:line="360" w:lineRule="auto" w:before="0" w:after="0"/>
      </w:pPr>
      <w:r>
        <w:rPr>
          <w:rFonts w:ascii="仿宋" w:hAnsi="仿宋" w:eastAsia="仿宋"/>
          <w:b w:val="0"/>
          <w:sz w:val="25"/>
        </w:rPr>
        <w:t>一审案号：（2025）湘8601行初1509号</w:t>
      </w:r>
    </w:p>
    <w:p>
      <w:pPr>
        <w:spacing w:line="360" w:lineRule="auto" w:before="0" w:after="0"/>
      </w:pPr>
      <w:r>
        <w:rPr>
          <w:rFonts w:ascii="仿宋" w:hAnsi="仿宋" w:eastAsia="仿宋"/>
          <w:b w:val="0"/>
          <w:sz w:val="25"/>
        </w:rPr>
        <w:t>二审法院：湖南省长沙市中级人民法院</w:t>
      </w:r>
    </w:p>
    <w:p>
      <w:pPr>
        <w:spacing w:line="360" w:lineRule="auto" w:before="0" w:after="0"/>
      </w:pPr>
      <w:r>
        <w:rPr>
          <w:rFonts w:ascii="仿宋" w:hAnsi="仿宋" w:eastAsia="仿宋"/>
          <w:b w:val="0"/>
          <w:sz w:val="25"/>
        </w:rPr>
        <w:t>二审案号：（2026）湘01行终413号</w:t>
      </w:r>
    </w:p>
    <w:p>
      <w:pPr>
        <w:spacing w:line="360" w:lineRule="auto" w:before="0" w:after="0"/>
      </w:pPr>
      <w:r>
        <w:rPr>
          <w:rFonts w:ascii="仿宋" w:hAnsi="仿宋" w:eastAsia="仿宋"/>
          <w:b w:val="0"/>
          <w:sz w:val="25"/>
        </w:rPr>
        <w:t>一审原告、二审上诉人：黄敏、熊玲翠</w:t>
      </w:r>
    </w:p>
    <w:p>
      <w:pPr>
        <w:spacing w:line="360" w:lineRule="auto" w:before="0" w:after="0"/>
      </w:pPr>
      <w:r>
        <w:rPr>
          <w:rFonts w:ascii="仿宋" w:hAnsi="仿宋" w:eastAsia="仿宋"/>
          <w:b w:val="0"/>
          <w:sz w:val="25"/>
        </w:rPr>
        <w:t>被上诉人：长沙市开福区住房和城乡建设局</w:t>
      </w:r>
    </w:p>
    <w:p>
      <w:pPr>
        <w:spacing w:line="360" w:lineRule="auto" w:before="80" w:after="80"/>
        <w:ind w:left="340" w:right="170"/>
        <w:pBdr>
          <w:left w:val="single" w:sz="14" w:space="8" w:color="718096"/>
        </w:pBdr>
      </w:pPr>
      <w:r>
        <w:rPr>
          <w:rFonts w:ascii="仿宋" w:hAnsi="仿宋" w:eastAsia="仿宋"/>
          <w:b w:val="0"/>
          <w:color w:val="404B5A"/>
          <w:sz w:val="26"/>
        </w:rPr>
        <w:t>公开版隐私说明：本报告和公网页面不公开身份证号码、住址、联系电话及亲笔签名。向法院提交身份证明、亲属关系证明时，应另行提供非公开附件。</w:t>
      </w:r>
    </w:p>
    <w:p>
      <w:pPr>
        <w:keepNext/>
        <w:spacing w:line="360" w:lineRule="auto" w:before="200" w:after="80"/>
      </w:pPr>
      <w:r>
        <w:rPr>
          <w:rFonts w:ascii="黑体" w:hAnsi="黑体" w:eastAsia="黑体"/>
          <w:b/>
          <w:sz w:val="32"/>
        </w:rPr>
        <w:t>一、300字内明确结论</w:t>
      </w:r>
    </w:p>
    <w:p>
      <w:pPr>
        <w:spacing w:line="360" w:lineRule="auto" w:before="0" w:after="0"/>
        <w:ind w:firstLine="629"/>
      </w:pPr>
      <w:r>
        <w:rPr>
          <w:rFonts w:ascii="仿宋" w:hAnsi="仿宋" w:eastAsia="仿宋"/>
          <w:b/>
          <w:sz w:val="30"/>
        </w:rPr>
        <w:t>【法律确定结论】</w:t>
      </w:r>
      <w:r>
        <w:rPr>
          <w:rFonts w:ascii="仿宋" w:hAnsi="仿宋" w:eastAsia="仿宋"/>
          <w:b w:val="0"/>
          <w:sz w:val="30"/>
        </w:rPr>
        <w:t>原授权明示“代为提起上诉”，足以支持代理人以自己的代理人身份签署、提交上诉状并启动二审，但不得模仿黄敏签名。</w:t>
      </w:r>
      <w:r>
        <w:rPr>
          <w:rFonts w:ascii="仿宋" w:hAnsi="仿宋" w:eastAsia="仿宋"/>
          <w:b/>
          <w:sz w:val="30"/>
        </w:rPr>
        <w:t>【合理解释结论】</w:t>
      </w:r>
      <w:r>
        <w:rPr>
          <w:rFonts w:ascii="仿宋" w:hAnsi="仿宋" w:eastAsia="仿宋"/>
          <w:b w:val="0"/>
          <w:sz w:val="30"/>
        </w:rPr>
        <w:t>原授权另含提交证据、参加辩论、签收文书等权限且未限定审级，可有力主张覆盖二审全程，是否采纳仍由长沙中院核实。</w:t>
      </w:r>
      <w:r>
        <w:rPr>
          <w:rFonts w:ascii="仿宋" w:hAnsi="仿宋" w:eastAsia="仿宋"/>
          <w:b/>
          <w:sz w:val="30"/>
        </w:rPr>
        <w:t>【法律确定结论】</w:t>
      </w:r>
      <w:r>
        <w:rPr>
          <w:rFonts w:ascii="仿宋" w:hAnsi="仿宋" w:eastAsia="仿宋"/>
          <w:b w:val="0"/>
          <w:sz w:val="30"/>
        </w:rPr>
        <w:t>“代为签收法律文书”绝不等于“代为签署授权委托书”，原代理人不能为自己创设或扩大代理权。最快且最稳妥的做法是：黄敏在旅游地打印、亲笔签名，先传清晰扫描件并保留邮寄凭证，随即通过EMS或顺丰寄原件；同时申请法院电话、视频或在线平台核验。</w:t>
      </w:r>
    </w:p>
    <w:p>
      <w:pPr>
        <w:keepNext/>
        <w:spacing w:line="360" w:lineRule="auto" w:before="200" w:after="80"/>
      </w:pPr>
      <w:r>
        <w:rPr>
          <w:rFonts w:ascii="黑体" w:hAnsi="黑体" w:eastAsia="黑体"/>
          <w:b/>
          <w:sz w:val="32"/>
        </w:rPr>
        <w:t>二、核验到的本案材料与证据缺口</w:t>
      </w:r>
    </w:p>
    <w:p>
      <w:pPr>
        <w:keepNext/>
        <w:spacing w:line="360" w:lineRule="auto" w:before="140" w:after="0"/>
      </w:pPr>
      <w:r>
        <w:rPr>
          <w:rFonts w:ascii="黑体" w:hAnsi="黑体" w:eastAsia="黑体"/>
          <w:b/>
          <w:sz w:val="30"/>
        </w:rPr>
        <w:t>1. 已核验内容</w:t>
      </w:r>
    </w:p>
    <w:p>
      <w:pPr>
        <w:spacing w:line="360" w:lineRule="auto" w:before="0" w:after="0"/>
        <w:ind w:hanging="340" w:left="680"/>
      </w:pPr>
      <w:r>
        <w:rPr>
          <w:rFonts w:ascii="仿宋" w:hAnsi="仿宋" w:eastAsia="仿宋"/>
          <w:b w:val="0"/>
          <w:sz w:val="30"/>
        </w:rPr>
        <w:t>1. 本地一审行政判决书载明：（2025）湘8601行初1509号，原告黄敏、熊玲翠，被告长沙市开福区住房和城乡建设局；李燕、冯宇均被列为两原告的委托代理人。一审判决日期为2026年1月15日。</w:t>
      </w:r>
    </w:p>
    <w:p>
      <w:pPr>
        <w:spacing w:line="360" w:lineRule="auto" w:before="0" w:after="0"/>
        <w:ind w:hanging="340" w:left="680"/>
      </w:pPr>
      <w:r>
        <w:rPr>
          <w:rFonts w:ascii="仿宋" w:hAnsi="仿宋" w:eastAsia="仿宋"/>
          <w:b w:val="0"/>
          <w:sz w:val="30"/>
        </w:rPr>
        <w:t>2. 本地找到两份可编辑授权书：较早版本只列李燕；2025年11月30日修改的版本列李燕、冯宇两人。后一版本与一审判决所载代理人一致。</w:t>
      </w:r>
    </w:p>
    <w:p>
      <w:pPr>
        <w:spacing w:line="360" w:lineRule="auto" w:before="0" w:after="0"/>
        <w:ind w:hanging="340" w:left="680"/>
      </w:pPr>
      <w:r>
        <w:rPr>
          <w:rFonts w:ascii="仿宋" w:hAnsi="仿宋" w:eastAsia="仿宋"/>
          <w:b w:val="0"/>
          <w:sz w:val="30"/>
        </w:rPr>
        <w:t>3. 后一版本记载的完整权限为：</w:t>
      </w:r>
    </w:p>
    <w:p>
      <w:pPr>
        <w:spacing w:line="360" w:lineRule="auto" w:before="80" w:after="80"/>
        <w:ind w:left="340" w:right="170"/>
        <w:pBdr>
          <w:left w:val="single" w:sz="14" w:space="8" w:color="718096"/>
        </w:pBdr>
      </w:pPr>
      <w:r>
        <w:rPr>
          <w:rFonts w:ascii="仿宋" w:hAnsi="仿宋" w:eastAsia="仿宋"/>
          <w:b w:val="0"/>
          <w:color w:val="404B5A"/>
          <w:sz w:val="26"/>
        </w:rPr>
        <w:t>“代为提起、承认、放弃、变更诉讼请求；代为调查、收集、提交证据，参加法庭辩论；代为签收法律文书；代为进行和解；代为提起上诉。”</w:t>
      </w:r>
    </w:p>
    <w:p>
      <w:pPr>
        <w:spacing w:line="360" w:lineRule="auto" w:before="0" w:after="0"/>
        <w:ind w:hanging="340" w:left="680"/>
      </w:pPr>
      <w:r>
        <w:rPr>
          <w:rFonts w:ascii="仿宋" w:hAnsi="仿宋" w:eastAsia="仿宋"/>
          <w:b w:val="0"/>
          <w:sz w:val="30"/>
        </w:rPr>
        <w:t>4. 该可编辑版本尾部写有“此致 长沙铁路运输法院”，没有明示“仅限一审”，也没有写授权期限。</w:t>
      </w:r>
    </w:p>
    <w:p>
      <w:pPr>
        <w:keepNext/>
        <w:spacing w:line="360" w:lineRule="auto" w:before="140" w:after="0"/>
      </w:pPr>
      <w:r>
        <w:rPr>
          <w:rFonts w:ascii="黑体" w:hAnsi="黑体" w:eastAsia="黑体"/>
          <w:b/>
          <w:sz w:val="30"/>
        </w:rPr>
        <w:t>2. 不能回避的证据缺口</w:t>
      </w:r>
    </w:p>
    <w:p>
      <w:pPr>
        <w:spacing w:line="360" w:lineRule="auto" w:before="0" w:after="0"/>
        <w:ind w:firstLine="629"/>
      </w:pPr>
      <w:r>
        <w:rPr>
          <w:rFonts w:ascii="仿宋" w:hAnsi="仿宋" w:eastAsia="仿宋"/>
          <w:b w:val="0"/>
          <w:sz w:val="30"/>
        </w:rPr>
        <w:t>本地</w:t>
      </w:r>
      <w:r>
        <w:rPr>
          <w:rFonts w:ascii="仿宋" w:hAnsi="仿宋" w:eastAsia="仿宋"/>
          <w:b/>
          <w:sz w:val="30"/>
        </w:rPr>
        <w:t>没有找到黄敏、熊玲翠亲笔签名的纸质授权书扫描件或照片</w:t>
      </w:r>
      <w:r>
        <w:rPr>
          <w:rFonts w:ascii="仿宋" w:hAnsi="仿宋" w:eastAsia="仿宋"/>
          <w:b w:val="0"/>
          <w:sz w:val="30"/>
        </w:rPr>
        <w:t>；两份DOCX均未嵌入手写签名。一审判决能够证明法院曾认可李燕、冯宇代理出庭，但判决没有逐字记载一审卷内授权权限。因此：</w:t>
      </w:r>
    </w:p>
    <w:p>
      <w:pPr>
        <w:spacing w:line="360" w:lineRule="auto" w:before="0" w:after="0"/>
        <w:ind w:hanging="312" w:left="629"/>
      </w:pPr>
      <w:r>
        <w:rPr>
          <w:rFonts w:ascii="仿宋" w:hAnsi="仿宋" w:eastAsia="仿宋"/>
          <w:b w:val="0"/>
          <w:sz w:val="30"/>
        </w:rPr>
        <w:t>• 旧授权的精确文字，目前由用户提供的原文和本地可编辑版本相互印证；</w:t>
      </w:r>
    </w:p>
    <w:p>
      <w:pPr>
        <w:spacing w:line="360" w:lineRule="auto" w:before="0" w:after="0"/>
        <w:ind w:hanging="312" w:left="629"/>
      </w:pPr>
      <w:r>
        <w:rPr>
          <w:rFonts w:ascii="仿宋" w:hAnsi="仿宋" w:eastAsia="仿宋"/>
          <w:b w:val="0"/>
          <w:sz w:val="30"/>
        </w:rPr>
        <w:t>• 旧授权是否确由两委托人签名、签署日期为何、卷内究竟采用哪个版本，仍应以一审卷宗原件为准；</w:t>
      </w:r>
    </w:p>
    <w:p>
      <w:pPr>
        <w:spacing w:line="360" w:lineRule="auto" w:before="0" w:after="0"/>
        <w:ind w:hanging="312" w:left="629"/>
      </w:pPr>
      <w:r>
        <w:rPr>
          <w:rFonts w:ascii="仿宋" w:hAnsi="仿宋" w:eastAsia="仿宋"/>
          <w:b w:val="0"/>
          <w:sz w:val="30"/>
        </w:rPr>
        <w:t>• 二审提交旧授权时，应请求长沙中院直接查阅随案移送的一审卷宗，不应把未签名的Word模板当成授权原件。</w:t>
      </w:r>
    </w:p>
    <w:p>
      <w:pPr>
        <w:keepNext/>
        <w:spacing w:line="360" w:lineRule="auto" w:before="200" w:after="80"/>
      </w:pPr>
      <w:r>
        <w:rPr>
          <w:rFonts w:ascii="黑体" w:hAnsi="黑体" w:eastAsia="黑体"/>
          <w:b/>
          <w:sz w:val="32"/>
        </w:rPr>
        <w:t>三、规范依据与结论等级</w:t>
      </w:r>
    </w:p>
    <w:p>
      <w:pPr>
        <w:keepNext/>
        <w:spacing w:line="360" w:lineRule="auto" w:before="140" w:after="0"/>
      </w:pPr>
      <w:r>
        <w:rPr>
          <w:rFonts w:ascii="黑体" w:hAnsi="黑体" w:eastAsia="黑体"/>
          <w:b/>
          <w:sz w:val="30"/>
        </w:rPr>
        <w:t>1. 授权书必须由委托人签名或盖章</w:t>
      </w:r>
    </w:p>
    <w:p>
      <w:pPr>
        <w:spacing w:line="360" w:lineRule="auto" w:before="0" w:after="0"/>
        <w:ind w:firstLine="629"/>
      </w:pPr>
      <w:r>
        <w:rPr>
          <w:rFonts w:ascii="仿宋" w:hAnsi="仿宋" w:eastAsia="仿宋"/>
          <w:b w:val="0"/>
          <w:sz w:val="30"/>
        </w:rPr>
        <w:t>《最高人民法院关于适用〈中华人民共和国行政诉讼法〉的解释》第三十一条规定，当事人委托诉讼代理人，应向法院提交</w:t>
      </w:r>
      <w:r>
        <w:rPr>
          <w:rFonts w:ascii="仿宋" w:hAnsi="仿宋" w:eastAsia="仿宋"/>
          <w:b/>
          <w:sz w:val="30"/>
        </w:rPr>
        <w:t>由委托人签名或者盖章</w:t>
      </w:r>
      <w:r>
        <w:rPr>
          <w:rFonts w:ascii="仿宋" w:hAnsi="仿宋" w:eastAsia="仿宋"/>
          <w:b w:val="0"/>
          <w:sz w:val="30"/>
        </w:rPr>
        <w:t>的授权委托书，委托书应载明委托事项和具体权限；特殊情况下公民无法书面委托，可以由他人代书，并由本人捺印等方式确认，法院应核实并记录在卷。</w:t>
      </w:r>
      <w:hyperlink r:id="rId11">
        <w:r>
          <w:rPr>
            <w:rFonts w:eastAsia="仿宋" w:ascii="仿宋" w:hAnsi="仿宋"/>
            <w:color w:val="1F4E79"/>
            <w:u w:val="single"/>
            <w:sz w:val="30"/>
          </w:rPr>
          <w:t>最高人民法院公报：行政诉讼法司法解释</w:t>
        </w:r>
      </w:hyperlink>
    </w:p>
    <w:p>
      <w:pPr>
        <w:spacing w:line="360" w:lineRule="auto" w:before="0" w:after="0"/>
        <w:ind w:firstLine="629"/>
      </w:pPr>
      <w:r>
        <w:rPr>
          <w:rFonts w:ascii="仿宋" w:hAnsi="仿宋" w:eastAsia="仿宋"/>
          <w:b w:val="0"/>
          <w:sz w:val="30"/>
        </w:rPr>
        <w:t>最高人民法院公民授权委托书示范文本同样要求委托人签名；代为承认、放弃、变更诉讼请求、和解、提起上诉等，必须有特别授权。</w:t>
      </w:r>
      <w:hyperlink r:id="rId12">
        <w:r>
          <w:rPr>
            <w:rFonts w:eastAsia="仿宋" w:ascii="仿宋" w:hAnsi="仿宋"/>
            <w:color w:val="1F4E79"/>
            <w:u w:val="single"/>
            <w:sz w:val="30"/>
          </w:rPr>
          <w:t>最高人民法院：授权委托书（公民个人用）</w:t>
        </w:r>
      </w:hyperlink>
    </w:p>
    <w:p>
      <w:pPr>
        <w:spacing w:line="360" w:lineRule="auto" w:before="0" w:after="0"/>
        <w:ind w:firstLine="629"/>
      </w:pPr>
      <w:r>
        <w:rPr>
          <w:rFonts w:ascii="仿宋" w:hAnsi="仿宋" w:eastAsia="仿宋"/>
          <w:b/>
          <w:sz w:val="30"/>
        </w:rPr>
        <w:t>【法律确定结论】</w:t>
      </w:r>
      <w:r>
        <w:rPr>
          <w:rFonts w:ascii="仿宋" w:hAnsi="仿宋" w:eastAsia="仿宋"/>
          <w:b w:val="0"/>
          <w:sz w:val="30"/>
        </w:rPr>
        <w:t>新的二审授权委托书是证明代理权来源和范围的资格文件，不只是普通陈述材料。它原则上必须由黄敏本人签名或盖章；代理人不能仅凭既有代理身份自行给自己签发一份新授权。</w:t>
      </w:r>
    </w:p>
    <w:p>
      <w:pPr>
        <w:keepNext/>
        <w:spacing w:line="360" w:lineRule="auto" w:before="140" w:after="0"/>
      </w:pPr>
      <w:r>
        <w:rPr>
          <w:rFonts w:ascii="黑体" w:hAnsi="黑体" w:eastAsia="黑体"/>
          <w:b/>
          <w:sz w:val="30"/>
        </w:rPr>
        <w:t>2. 民法典关于代理形式、转委托、无权代理和终止</w:t>
      </w:r>
    </w:p>
    <w:p>
      <w:pPr>
        <w:spacing w:line="360" w:lineRule="auto" w:before="0" w:after="0"/>
        <w:ind w:firstLine="629"/>
      </w:pPr>
      <w:r>
        <w:rPr>
          <w:rFonts w:ascii="仿宋" w:hAnsi="仿宋" w:eastAsia="仿宋"/>
          <w:b w:val="0"/>
          <w:sz w:val="30"/>
        </w:rPr>
        <w:t>《民法典》第一百六十五条要求书面授权载明代理人、代理事项、权限和期限，并由被代理人签名或盖章；第一百六十九条规定转委托原则上须经被代理人同意或追认；第一百七十一条规定无权、越权或代理终止后的行为未经追认，对被代理人不发生效力；第一百七十三条规定代理期间届满或代理事务完成、取消委托、代理人辞任等，委托代理终止。</w:t>
      </w:r>
      <w:hyperlink r:id="rId13">
        <w:r>
          <w:rPr>
            <w:rFonts w:eastAsia="仿宋" w:ascii="仿宋" w:hAnsi="仿宋"/>
            <w:color w:val="1F4E79"/>
            <w:u w:val="single"/>
            <w:sz w:val="30"/>
          </w:rPr>
          <w:t>最高人民法院公报：中华人民共和国民法典</w:t>
        </w:r>
      </w:hyperlink>
    </w:p>
    <w:p>
      <w:pPr>
        <w:spacing w:line="360" w:lineRule="auto" w:before="0" w:after="0"/>
        <w:ind w:firstLine="629"/>
      </w:pPr>
      <w:r>
        <w:rPr>
          <w:rFonts w:ascii="仿宋" w:hAnsi="仿宋" w:eastAsia="仿宋"/>
          <w:b/>
          <w:sz w:val="30"/>
        </w:rPr>
        <w:t>【法律确定结论】</w:t>
      </w:r>
      <w:r>
        <w:rPr>
          <w:rFonts w:ascii="仿宋" w:hAnsi="仿宋" w:eastAsia="仿宋"/>
          <w:b w:val="0"/>
          <w:sz w:val="30"/>
        </w:rPr>
        <w:t>原授权没有“转委托”“另行委托代理人”“代签授权委托书”等文字时，李燕、冯宇不能凭原授权代黄敏签发新的授权委托书。</w:t>
      </w:r>
    </w:p>
    <w:p>
      <w:pPr>
        <w:spacing w:line="360" w:lineRule="auto" w:before="0" w:after="0"/>
        <w:ind w:firstLine="629"/>
      </w:pPr>
      <w:r>
        <w:rPr>
          <w:rFonts w:ascii="仿宋" w:hAnsi="仿宋" w:eastAsia="仿宋"/>
          <w:b/>
          <w:sz w:val="30"/>
        </w:rPr>
        <w:t>【合理解释结论】</w:t>
      </w:r>
      <w:r>
        <w:rPr>
          <w:rFonts w:ascii="仿宋" w:hAnsi="仿宋" w:eastAsia="仿宋"/>
          <w:b w:val="0"/>
          <w:sz w:val="30"/>
        </w:rPr>
        <w:t>授权书漏写期限会造成期限解释不清，但现行法没有规定“一漏写期限即当然无效”。应结合授权事项判断代理事务何时完成。原授权明确包含“代为提起上诉”，说明代理事务至少不以一审宣判为当然终点；但它究竟在上诉提出时完成，还是持续到二审终结，需要结合其余权限和签署目的解释。</w:t>
      </w:r>
    </w:p>
    <w:p>
      <w:pPr>
        <w:keepNext/>
        <w:spacing w:line="360" w:lineRule="auto" w:before="140" w:after="0"/>
      </w:pPr>
      <w:r>
        <w:rPr>
          <w:rFonts w:ascii="黑体" w:hAnsi="黑体" w:eastAsia="黑体"/>
          <w:b/>
          <w:sz w:val="30"/>
        </w:rPr>
        <w:t>3. 电子材料、电子签名与在线核验</w:t>
      </w:r>
    </w:p>
    <w:p>
      <w:pPr>
        <w:spacing w:line="360" w:lineRule="auto" w:before="0" w:after="0"/>
        <w:ind w:firstLine="629"/>
      </w:pPr>
      <w:r>
        <w:rPr>
          <w:rFonts w:ascii="仿宋" w:hAnsi="仿宋" w:eastAsia="仿宋"/>
          <w:b w:val="0"/>
          <w:sz w:val="30"/>
        </w:rPr>
        <w:t>《人民法院在线诉讼规则》确认在线诉讼与线下诉讼具有同等法律效力；法院通过证件比对、身份认证平台等核实身份，经实名认证账号实施的行为原则上视为本人行为；扫描件、照片等电子化材料可以提交，经法院审核后可以直接使用，但存在合理异议、材料不完整不清晰、档案要求或法院认为必要时，仍可要求原件。</w:t>
      </w:r>
      <w:hyperlink r:id="rId14">
        <w:r>
          <w:rPr>
            <w:rFonts w:eastAsia="仿宋" w:ascii="仿宋" w:hAnsi="仿宋"/>
            <w:color w:val="1F4E79"/>
            <w:u w:val="single"/>
            <w:sz w:val="30"/>
          </w:rPr>
          <w:t>最高人民法院公报：人民法院在线诉讼规则</w:t>
        </w:r>
      </w:hyperlink>
    </w:p>
    <w:p>
      <w:pPr>
        <w:spacing w:line="360" w:lineRule="auto" w:before="0" w:after="0"/>
        <w:ind w:firstLine="629"/>
      </w:pPr>
      <w:r>
        <w:rPr>
          <w:rFonts w:ascii="仿宋" w:hAnsi="仿宋" w:eastAsia="仿宋"/>
          <w:b w:val="0"/>
          <w:sz w:val="30"/>
        </w:rPr>
        <w:t>《电子签名法》第十三条规定可靠电子签名的四项条件，第十四条规定可靠电子签名与手写签名或盖章具有同等法律效力。</w:t>
      </w:r>
      <w:hyperlink r:id="rId15">
        <w:r>
          <w:rPr>
            <w:rFonts w:eastAsia="仿宋" w:ascii="仿宋" w:hAnsi="仿宋"/>
            <w:color w:val="1F4E79"/>
            <w:u w:val="single"/>
            <w:sz w:val="30"/>
          </w:rPr>
          <w:t>中国人大网：中华人民共和国电子签名法</w:t>
        </w:r>
      </w:hyperlink>
    </w:p>
    <w:p>
      <w:pPr>
        <w:spacing w:line="360" w:lineRule="auto" w:before="0" w:after="0"/>
        <w:ind w:firstLine="629"/>
      </w:pPr>
      <w:r>
        <w:rPr>
          <w:rFonts w:ascii="仿宋" w:hAnsi="仿宋" w:eastAsia="仿宋"/>
          <w:b w:val="0"/>
          <w:sz w:val="30"/>
        </w:rPr>
        <w:t>最高人民法院关于电子诉讼的公开答复明确提到，法院审核授权委托书等电子化材料时，可以采取电话核实；无法核实真实性时，可以要求原件。</w:t>
      </w:r>
      <w:hyperlink r:id="rId16">
        <w:r>
          <w:rPr>
            <w:rFonts w:eastAsia="仿宋" w:ascii="仿宋" w:hAnsi="仿宋"/>
            <w:color w:val="1F4E79"/>
            <w:u w:val="single"/>
            <w:sz w:val="30"/>
          </w:rPr>
          <w:t>最高人民法院：电子诉讼相关问题答复</w:t>
        </w:r>
      </w:hyperlink>
    </w:p>
    <w:p>
      <w:pPr>
        <w:spacing w:line="360" w:lineRule="auto" w:before="0" w:after="0"/>
        <w:ind w:firstLine="629"/>
      </w:pPr>
      <w:r>
        <w:rPr>
          <w:rFonts w:ascii="仿宋" w:hAnsi="仿宋" w:eastAsia="仿宋"/>
          <w:b/>
          <w:sz w:val="30"/>
        </w:rPr>
        <w:t>【法律确定结论】</w:t>
      </w:r>
      <w:r>
        <w:rPr>
          <w:rFonts w:ascii="仿宋" w:hAnsi="仿宋" w:eastAsia="仿宋"/>
          <w:b w:val="0"/>
          <w:sz w:val="30"/>
        </w:rPr>
        <w:t>经过实名身份认证、能识别签名人并能发现篡改的可靠电子签名，不因电子形式而失效。</w:t>
      </w:r>
    </w:p>
    <w:p>
      <w:pPr>
        <w:spacing w:line="360" w:lineRule="auto" w:before="0" w:after="0"/>
        <w:ind w:firstLine="629"/>
      </w:pPr>
      <w:r>
        <w:rPr>
          <w:rFonts w:ascii="仿宋" w:hAnsi="仿宋" w:eastAsia="仿宋"/>
          <w:b/>
          <w:sz w:val="30"/>
        </w:rPr>
        <w:t>【需由二审法院确认】</w:t>
      </w:r>
      <w:r>
        <w:rPr>
          <w:rFonts w:ascii="仿宋" w:hAnsi="仿宋" w:eastAsia="仿宋"/>
          <w:b w:val="0"/>
          <w:sz w:val="30"/>
        </w:rPr>
        <w:t>长沙中院当前使用的平台是否支持本案当事人在线签署授权、是否接受扫描件先交后补原件、是否愿意通过电话或视频完成授权核验，属于具体案件的程序安排，必须提前向承办法官或书记员确认。</w:t>
      </w:r>
    </w:p>
    <w:p>
      <w:pPr>
        <w:keepNext/>
        <w:spacing w:line="360" w:lineRule="auto" w:before="200" w:after="80"/>
      </w:pPr>
      <w:r>
        <w:rPr>
          <w:rFonts w:ascii="黑体" w:hAnsi="黑体" w:eastAsia="黑体"/>
          <w:b/>
          <w:sz w:val="32"/>
        </w:rPr>
        <w:t>四、原授权各项权限在二审中的效力</w:t>
      </w:r>
    </w:p>
    <w:tbl>
      <w:tblPr>
        <w:tblStyle w:val="TableGrid"/>
        <w:tblW w:type="auto" w:w="0"/>
        <w:jc w:val="center"/>
        <w:tblLayout w:type="autofit"/>
        <w:tblLook w:firstColumn="1" w:firstRow="1" w:lastColumn="0" w:lastRow="0" w:noHBand="0" w:noVBand="1" w:val="04A0"/>
      </w:tblPr>
      <w:tblGrid>
        <w:gridCol w:w="2154"/>
        <w:gridCol w:w="2154"/>
        <w:gridCol w:w="2154"/>
        <w:gridCol w:w="2154"/>
      </w:tblGrid>
      <w:tr>
        <w:trPr>
          <w:tblHeader w:val="true"/>
        </w:trPr>
        <w:tc>
          <w:tcPr>
            <w:tcW w:type="dxa" w:w="2154"/>
            <w:shd w:fill="E8EDF3"/>
            <w:vAlign w:val="center"/>
          </w:tcPr>
          <w:p>
            <w:pPr>
              <w:spacing w:line="276" w:lineRule="auto"/>
              <w:jc w:val="center"/>
            </w:pPr>
            <w:r>
              <w:rPr>
                <w:rFonts w:ascii="黑体" w:hAnsi="黑体" w:eastAsia="黑体"/>
                <w:b/>
                <w:sz w:val="18"/>
              </w:rPr>
              <w:t>原授权文字</w:t>
            </w:r>
          </w:p>
        </w:tc>
        <w:tc>
          <w:tcPr>
            <w:tcW w:type="dxa" w:w="2154"/>
            <w:shd w:fill="E8EDF3"/>
            <w:vAlign w:val="center"/>
          </w:tcPr>
          <w:p>
            <w:pPr>
              <w:spacing w:line="276" w:lineRule="auto"/>
              <w:jc w:val="center"/>
            </w:pPr>
            <w:r>
              <w:rPr>
                <w:rFonts w:ascii="黑体" w:hAnsi="黑体" w:eastAsia="黑体"/>
                <w:b/>
                <w:sz w:val="18"/>
              </w:rPr>
              <w:t>确定或解释层级</w:t>
            </w:r>
          </w:p>
        </w:tc>
        <w:tc>
          <w:tcPr>
            <w:tcW w:type="dxa" w:w="2154"/>
            <w:shd w:fill="E8EDF3"/>
            <w:vAlign w:val="center"/>
          </w:tcPr>
          <w:p>
            <w:pPr>
              <w:spacing w:line="276" w:lineRule="auto"/>
              <w:jc w:val="center"/>
            </w:pPr>
            <w:r>
              <w:rPr>
                <w:rFonts w:ascii="黑体" w:hAnsi="黑体" w:eastAsia="黑体"/>
                <w:b/>
                <w:sz w:val="18"/>
              </w:rPr>
              <w:t>在二审中的作用</w:t>
            </w:r>
          </w:p>
        </w:tc>
        <w:tc>
          <w:tcPr>
            <w:tcW w:type="dxa" w:w="2154"/>
            <w:shd w:fill="E8EDF3"/>
            <w:vAlign w:val="center"/>
          </w:tcPr>
          <w:p>
            <w:pPr>
              <w:spacing w:line="276" w:lineRule="auto"/>
              <w:jc w:val="center"/>
            </w:pPr>
            <w:r>
              <w:rPr>
                <w:rFonts w:ascii="黑体" w:hAnsi="黑体" w:eastAsia="黑体"/>
                <w:b/>
                <w:sz w:val="18"/>
              </w:rPr>
              <w:t>边界与风险</w:t>
            </w:r>
          </w:p>
        </w:tc>
      </w:tr>
      <w:tr>
        <w:tc>
          <w:tcPr>
            <w:tcW w:type="dxa" w:w="2154"/>
            <w:vAlign w:val="top"/>
          </w:tcPr>
          <w:p>
            <w:pPr>
              <w:spacing w:line="276" w:lineRule="auto" w:after="0"/>
            </w:pPr>
            <w:r>
              <w:rPr>
                <w:rFonts w:ascii="仿宋" w:hAnsi="仿宋" w:eastAsia="仿宋"/>
                <w:b w:val="0"/>
                <w:sz w:val="18"/>
              </w:rPr>
              <w:t>代为提起诉讼请求</w:t>
            </w:r>
          </w:p>
        </w:tc>
        <w:tc>
          <w:tcPr>
            <w:tcW w:type="dxa" w:w="2154"/>
            <w:vAlign w:val="top"/>
          </w:tcPr>
          <w:p>
            <w:pPr>
              <w:spacing w:line="276" w:lineRule="auto" w:after="0"/>
            </w:pPr>
            <w:r>
              <w:rPr>
                <w:rFonts w:ascii="仿宋" w:hAnsi="仿宋" w:eastAsia="仿宋"/>
                <w:b w:val="0"/>
                <w:sz w:val="18"/>
              </w:rPr>
              <w:t>合理解释结论</w:t>
            </w:r>
          </w:p>
        </w:tc>
        <w:tc>
          <w:tcPr>
            <w:tcW w:type="dxa" w:w="2154"/>
            <w:vAlign w:val="top"/>
          </w:tcPr>
          <w:p>
            <w:pPr>
              <w:spacing w:line="276" w:lineRule="auto" w:after="0"/>
            </w:pPr>
            <w:r>
              <w:rPr>
                <w:rFonts w:ascii="仿宋" w:hAnsi="仿宋" w:eastAsia="仿宋"/>
                <w:b w:val="0"/>
                <w:sz w:val="18"/>
              </w:rPr>
              <w:t>可提出、说明诉讼请求；在二审中对应确认、说明上诉请求</w:t>
            </w:r>
          </w:p>
        </w:tc>
        <w:tc>
          <w:tcPr>
            <w:tcW w:type="dxa" w:w="2154"/>
            <w:vAlign w:val="top"/>
          </w:tcPr>
          <w:p>
            <w:pPr>
              <w:spacing w:line="276" w:lineRule="auto" w:after="0"/>
            </w:pPr>
            <w:r>
              <w:rPr>
                <w:rFonts w:ascii="仿宋" w:hAnsi="仿宋" w:eastAsia="仿宋"/>
                <w:b w:val="0"/>
                <w:sz w:val="18"/>
              </w:rPr>
              <w:t>二审原则上围绕一审诉讼请求和上诉请求审理，不能借授权突破二审请求规则</w:t>
            </w:r>
          </w:p>
        </w:tc>
      </w:tr>
      <w:tr>
        <w:tc>
          <w:tcPr>
            <w:tcW w:type="dxa" w:w="2154"/>
            <w:vAlign w:val="top"/>
          </w:tcPr>
          <w:p>
            <w:pPr>
              <w:spacing w:line="276" w:lineRule="auto" w:after="0"/>
            </w:pPr>
            <w:r>
              <w:rPr>
                <w:rFonts w:ascii="仿宋" w:hAnsi="仿宋" w:eastAsia="仿宋"/>
                <w:b w:val="0"/>
                <w:sz w:val="18"/>
              </w:rPr>
              <w:t>代为承认诉讼请求</w:t>
            </w:r>
          </w:p>
        </w:tc>
        <w:tc>
          <w:tcPr>
            <w:tcW w:type="dxa" w:w="2154"/>
            <w:vAlign w:val="top"/>
          </w:tcPr>
          <w:p>
            <w:pPr>
              <w:spacing w:line="276" w:lineRule="auto" w:after="0"/>
            </w:pPr>
            <w:r>
              <w:rPr>
                <w:rFonts w:ascii="仿宋" w:hAnsi="仿宋" w:eastAsia="仿宋"/>
                <w:b w:val="0"/>
                <w:sz w:val="18"/>
              </w:rPr>
              <w:t>法律确定＋需法院审查</w:t>
            </w:r>
          </w:p>
        </w:tc>
        <w:tc>
          <w:tcPr>
            <w:tcW w:type="dxa" w:w="2154"/>
            <w:vAlign w:val="top"/>
          </w:tcPr>
          <w:p>
            <w:pPr>
              <w:spacing w:line="276" w:lineRule="auto" w:after="0"/>
            </w:pPr>
            <w:r>
              <w:rPr>
                <w:rFonts w:ascii="仿宋" w:hAnsi="仿宋" w:eastAsia="仿宋"/>
                <w:b w:val="0"/>
                <w:sz w:val="18"/>
              </w:rPr>
              <w:t>属特别处分授权；原授权若延续，可由代理人在权限内作出承认</w:t>
            </w:r>
          </w:p>
        </w:tc>
        <w:tc>
          <w:tcPr>
            <w:tcW w:type="dxa" w:w="2154"/>
            <w:vAlign w:val="top"/>
          </w:tcPr>
          <w:p>
            <w:pPr>
              <w:spacing w:line="276" w:lineRule="auto" w:after="0"/>
            </w:pPr>
            <w:r>
              <w:rPr>
                <w:rFonts w:ascii="仿宋" w:hAnsi="仿宋" w:eastAsia="仿宋"/>
                <w:b w:val="0"/>
                <w:sz w:val="18"/>
              </w:rPr>
              <w:t>行政诉讼处理对象和公共利益可能限制处分效果，法院不当然照单准许</w:t>
            </w:r>
          </w:p>
        </w:tc>
      </w:tr>
      <w:tr>
        <w:tc>
          <w:tcPr>
            <w:tcW w:type="dxa" w:w="2154"/>
            <w:vAlign w:val="top"/>
          </w:tcPr>
          <w:p>
            <w:pPr>
              <w:spacing w:line="276" w:lineRule="auto" w:after="0"/>
            </w:pPr>
            <w:r>
              <w:rPr>
                <w:rFonts w:ascii="仿宋" w:hAnsi="仿宋" w:eastAsia="仿宋"/>
                <w:b w:val="0"/>
                <w:sz w:val="18"/>
              </w:rPr>
              <w:t>代为放弃诉讼请求</w:t>
            </w:r>
          </w:p>
        </w:tc>
        <w:tc>
          <w:tcPr>
            <w:tcW w:type="dxa" w:w="2154"/>
            <w:vAlign w:val="top"/>
          </w:tcPr>
          <w:p>
            <w:pPr>
              <w:spacing w:line="276" w:lineRule="auto" w:after="0"/>
            </w:pPr>
            <w:r>
              <w:rPr>
                <w:rFonts w:ascii="仿宋" w:hAnsi="仿宋" w:eastAsia="仿宋"/>
                <w:b w:val="0"/>
                <w:sz w:val="18"/>
              </w:rPr>
              <w:t>法律确定＋高风险</w:t>
            </w:r>
          </w:p>
        </w:tc>
        <w:tc>
          <w:tcPr>
            <w:tcW w:type="dxa" w:w="2154"/>
            <w:vAlign w:val="top"/>
          </w:tcPr>
          <w:p>
            <w:pPr>
              <w:spacing w:line="276" w:lineRule="auto" w:after="0"/>
            </w:pPr>
            <w:r>
              <w:rPr>
                <w:rFonts w:ascii="仿宋" w:hAnsi="仿宋" w:eastAsia="仿宋"/>
                <w:b w:val="0"/>
                <w:sz w:val="18"/>
              </w:rPr>
              <w:t>属特别处分授权</w:t>
            </w:r>
          </w:p>
        </w:tc>
        <w:tc>
          <w:tcPr>
            <w:tcW w:type="dxa" w:w="2154"/>
            <w:vAlign w:val="top"/>
          </w:tcPr>
          <w:p>
            <w:pPr>
              <w:spacing w:line="276" w:lineRule="auto" w:after="0"/>
            </w:pPr>
            <w:r>
              <w:rPr>
                <w:rFonts w:ascii="仿宋" w:hAnsi="仿宋" w:eastAsia="仿宋"/>
                <w:b w:val="0"/>
                <w:sz w:val="18"/>
              </w:rPr>
              <w:t>不宜在授权效力仍有争议时实施；共同上诉人各自权利不得由另一人代为放弃</w:t>
            </w:r>
          </w:p>
        </w:tc>
      </w:tr>
      <w:tr>
        <w:tc>
          <w:tcPr>
            <w:tcW w:type="dxa" w:w="2154"/>
            <w:vAlign w:val="top"/>
          </w:tcPr>
          <w:p>
            <w:pPr>
              <w:spacing w:line="276" w:lineRule="auto" w:after="0"/>
            </w:pPr>
            <w:r>
              <w:rPr>
                <w:rFonts w:ascii="仿宋" w:hAnsi="仿宋" w:eastAsia="仿宋"/>
                <w:b w:val="0"/>
                <w:sz w:val="18"/>
              </w:rPr>
              <w:t>代为变更诉讼请求</w:t>
            </w:r>
          </w:p>
        </w:tc>
        <w:tc>
          <w:tcPr>
            <w:tcW w:type="dxa" w:w="2154"/>
            <w:vAlign w:val="top"/>
          </w:tcPr>
          <w:p>
            <w:pPr>
              <w:spacing w:line="276" w:lineRule="auto" w:after="0"/>
            </w:pPr>
            <w:r>
              <w:rPr>
                <w:rFonts w:ascii="仿宋" w:hAnsi="仿宋" w:eastAsia="仿宋"/>
                <w:b w:val="0"/>
                <w:sz w:val="18"/>
              </w:rPr>
              <w:t>法律确定＋程序限制</w:t>
            </w:r>
          </w:p>
        </w:tc>
        <w:tc>
          <w:tcPr>
            <w:tcW w:type="dxa" w:w="2154"/>
            <w:vAlign w:val="top"/>
          </w:tcPr>
          <w:p>
            <w:pPr>
              <w:spacing w:line="276" w:lineRule="auto" w:after="0"/>
            </w:pPr>
            <w:r>
              <w:rPr>
                <w:rFonts w:ascii="仿宋" w:hAnsi="仿宋" w:eastAsia="仿宋"/>
                <w:b w:val="0"/>
                <w:sz w:val="18"/>
              </w:rPr>
              <w:t>属特别授权，但二审变更请求受审级和审理范围限制</w:t>
            </w:r>
          </w:p>
        </w:tc>
        <w:tc>
          <w:tcPr>
            <w:tcW w:type="dxa" w:w="2154"/>
            <w:vAlign w:val="top"/>
          </w:tcPr>
          <w:p>
            <w:pPr>
              <w:spacing w:line="276" w:lineRule="auto" w:after="0"/>
            </w:pPr>
            <w:r>
              <w:rPr>
                <w:rFonts w:ascii="仿宋" w:hAnsi="仿宋" w:eastAsia="仿宋"/>
                <w:b w:val="0"/>
                <w:sz w:val="18"/>
              </w:rPr>
              <w:t>有授权不等于法院必须准许变更</w:t>
            </w:r>
          </w:p>
        </w:tc>
      </w:tr>
      <w:tr>
        <w:tc>
          <w:tcPr>
            <w:tcW w:type="dxa" w:w="2154"/>
            <w:vAlign w:val="top"/>
          </w:tcPr>
          <w:p>
            <w:pPr>
              <w:spacing w:line="276" w:lineRule="auto" w:after="0"/>
            </w:pPr>
            <w:r>
              <w:rPr>
                <w:rFonts w:ascii="仿宋" w:hAnsi="仿宋" w:eastAsia="仿宋"/>
                <w:b w:val="0"/>
                <w:sz w:val="18"/>
              </w:rPr>
              <w:t>代为调查、收集、提交证据</w:t>
            </w:r>
          </w:p>
        </w:tc>
        <w:tc>
          <w:tcPr>
            <w:tcW w:type="dxa" w:w="2154"/>
            <w:vAlign w:val="top"/>
          </w:tcPr>
          <w:p>
            <w:pPr>
              <w:spacing w:line="276" w:lineRule="auto" w:after="0"/>
            </w:pPr>
            <w:r>
              <w:rPr>
                <w:rFonts w:ascii="仿宋" w:hAnsi="仿宋" w:eastAsia="仿宋"/>
                <w:b w:val="0"/>
                <w:sz w:val="18"/>
              </w:rPr>
              <w:t>合理解释结论很强</w:t>
            </w:r>
          </w:p>
        </w:tc>
        <w:tc>
          <w:tcPr>
            <w:tcW w:type="dxa" w:w="2154"/>
            <w:vAlign w:val="top"/>
          </w:tcPr>
          <w:p>
            <w:pPr>
              <w:spacing w:line="276" w:lineRule="auto" w:after="0"/>
            </w:pPr>
            <w:r>
              <w:rPr>
                <w:rFonts w:ascii="仿宋" w:hAnsi="仿宋" w:eastAsia="仿宋"/>
                <w:b w:val="0"/>
                <w:sz w:val="18"/>
              </w:rPr>
              <w:t>可办理二审证据整理、提交和补充说明</w:t>
            </w:r>
          </w:p>
        </w:tc>
        <w:tc>
          <w:tcPr>
            <w:tcW w:type="dxa" w:w="2154"/>
            <w:vAlign w:val="top"/>
          </w:tcPr>
          <w:p>
            <w:pPr>
              <w:spacing w:line="276" w:lineRule="auto" w:after="0"/>
            </w:pPr>
            <w:r>
              <w:rPr>
                <w:rFonts w:ascii="仿宋" w:hAnsi="仿宋" w:eastAsia="仿宋"/>
                <w:b w:val="0"/>
                <w:sz w:val="18"/>
              </w:rPr>
              <w:t>前提是法院认可旧授权持续到二审；仍受举证期限和新证据规则约束</w:t>
            </w:r>
          </w:p>
        </w:tc>
      </w:tr>
      <w:tr>
        <w:tc>
          <w:tcPr>
            <w:tcW w:type="dxa" w:w="2154"/>
            <w:vAlign w:val="top"/>
          </w:tcPr>
          <w:p>
            <w:pPr>
              <w:spacing w:line="276" w:lineRule="auto" w:after="0"/>
            </w:pPr>
            <w:r>
              <w:rPr>
                <w:rFonts w:ascii="仿宋" w:hAnsi="仿宋" w:eastAsia="仿宋"/>
                <w:b w:val="0"/>
                <w:sz w:val="18"/>
              </w:rPr>
              <w:t>参加法庭辩论</w:t>
            </w:r>
          </w:p>
        </w:tc>
        <w:tc>
          <w:tcPr>
            <w:tcW w:type="dxa" w:w="2154"/>
            <w:vAlign w:val="top"/>
          </w:tcPr>
          <w:p>
            <w:pPr>
              <w:spacing w:line="276" w:lineRule="auto" w:after="0"/>
            </w:pPr>
            <w:r>
              <w:rPr>
                <w:rFonts w:ascii="仿宋" w:hAnsi="仿宋" w:eastAsia="仿宋"/>
                <w:b w:val="0"/>
                <w:sz w:val="18"/>
              </w:rPr>
              <w:t>合理解释结论很强</w:t>
            </w:r>
          </w:p>
        </w:tc>
        <w:tc>
          <w:tcPr>
            <w:tcW w:type="dxa" w:w="2154"/>
            <w:vAlign w:val="top"/>
          </w:tcPr>
          <w:p>
            <w:pPr>
              <w:spacing w:line="276" w:lineRule="auto" w:after="0"/>
            </w:pPr>
            <w:r>
              <w:rPr>
                <w:rFonts w:ascii="仿宋" w:hAnsi="仿宋" w:eastAsia="仿宋"/>
                <w:b w:val="0"/>
                <w:sz w:val="18"/>
              </w:rPr>
              <w:t>明确对应庭审代理行为，是支持覆盖二审全程的关键条款</w:t>
            </w:r>
          </w:p>
        </w:tc>
        <w:tc>
          <w:tcPr>
            <w:tcW w:type="dxa" w:w="2154"/>
            <w:vAlign w:val="top"/>
          </w:tcPr>
          <w:p>
            <w:pPr>
              <w:spacing w:line="276" w:lineRule="auto" w:after="0"/>
            </w:pPr>
            <w:r>
              <w:rPr>
                <w:rFonts w:ascii="仿宋" w:hAnsi="仿宋" w:eastAsia="仿宋"/>
                <w:b w:val="0"/>
                <w:sz w:val="18"/>
              </w:rPr>
              <w:t>“法庭辩论”未写审级，法院可能结合“一审法院受文名称”作限制解释</w:t>
            </w:r>
          </w:p>
        </w:tc>
      </w:tr>
      <w:tr>
        <w:tc>
          <w:tcPr>
            <w:tcW w:type="dxa" w:w="2154"/>
            <w:vAlign w:val="top"/>
          </w:tcPr>
          <w:p>
            <w:pPr>
              <w:spacing w:line="276" w:lineRule="auto" w:after="0"/>
            </w:pPr>
            <w:r>
              <w:rPr>
                <w:rFonts w:ascii="仿宋" w:hAnsi="仿宋" w:eastAsia="仿宋"/>
                <w:b w:val="0"/>
                <w:sz w:val="18"/>
              </w:rPr>
              <w:t>代为签收法律文书</w:t>
            </w:r>
          </w:p>
        </w:tc>
        <w:tc>
          <w:tcPr>
            <w:tcW w:type="dxa" w:w="2154"/>
            <w:vAlign w:val="top"/>
          </w:tcPr>
          <w:p>
            <w:pPr>
              <w:spacing w:line="276" w:lineRule="auto" w:after="0"/>
            </w:pPr>
            <w:r>
              <w:rPr>
                <w:rFonts w:ascii="仿宋" w:hAnsi="仿宋" w:eastAsia="仿宋"/>
                <w:b w:val="0"/>
                <w:sz w:val="18"/>
              </w:rPr>
              <w:t>合理解释结论很强</w:t>
            </w:r>
          </w:p>
        </w:tc>
        <w:tc>
          <w:tcPr>
            <w:tcW w:type="dxa" w:w="2154"/>
            <w:vAlign w:val="top"/>
          </w:tcPr>
          <w:p>
            <w:pPr>
              <w:spacing w:line="276" w:lineRule="auto" w:after="0"/>
            </w:pPr>
            <w:r>
              <w:rPr>
                <w:rFonts w:ascii="仿宋" w:hAnsi="仿宋" w:eastAsia="仿宋"/>
                <w:b w:val="0"/>
                <w:sz w:val="18"/>
              </w:rPr>
              <w:t>原授权延续时，可签收二审传票、通知、裁判文书</w:t>
            </w:r>
          </w:p>
        </w:tc>
        <w:tc>
          <w:tcPr>
            <w:tcW w:type="dxa" w:w="2154"/>
            <w:vAlign w:val="top"/>
          </w:tcPr>
          <w:p>
            <w:pPr>
              <w:spacing w:line="276" w:lineRule="auto" w:after="0"/>
            </w:pPr>
            <w:r>
              <w:rPr>
                <w:rFonts w:ascii="仿宋" w:hAnsi="仿宋" w:eastAsia="仿宋"/>
                <w:b/>
                <w:sz w:val="18"/>
              </w:rPr>
              <w:t>只能“签收”，不能解释为“签署”授权书或代签黄敏姓名</w:t>
            </w:r>
          </w:p>
        </w:tc>
      </w:tr>
      <w:tr>
        <w:tc>
          <w:tcPr>
            <w:tcW w:type="dxa" w:w="2154"/>
            <w:vAlign w:val="top"/>
          </w:tcPr>
          <w:p>
            <w:pPr>
              <w:spacing w:line="276" w:lineRule="auto" w:after="0"/>
            </w:pPr>
            <w:r>
              <w:rPr>
                <w:rFonts w:ascii="仿宋" w:hAnsi="仿宋" w:eastAsia="仿宋"/>
                <w:b w:val="0"/>
                <w:sz w:val="18"/>
              </w:rPr>
              <w:t>代为进行和解</w:t>
            </w:r>
          </w:p>
        </w:tc>
        <w:tc>
          <w:tcPr>
            <w:tcW w:type="dxa" w:w="2154"/>
            <w:vAlign w:val="top"/>
          </w:tcPr>
          <w:p>
            <w:pPr>
              <w:spacing w:line="276" w:lineRule="auto" w:after="0"/>
            </w:pPr>
            <w:r>
              <w:rPr>
                <w:rFonts w:ascii="仿宋" w:hAnsi="仿宋" w:eastAsia="仿宋"/>
                <w:b w:val="0"/>
                <w:sz w:val="18"/>
              </w:rPr>
              <w:t>法律确定＋实体限制</w:t>
            </w:r>
          </w:p>
        </w:tc>
        <w:tc>
          <w:tcPr>
            <w:tcW w:type="dxa" w:w="2154"/>
            <w:vAlign w:val="top"/>
          </w:tcPr>
          <w:p>
            <w:pPr>
              <w:spacing w:line="276" w:lineRule="auto" w:after="0"/>
            </w:pPr>
            <w:r>
              <w:rPr>
                <w:rFonts w:ascii="仿宋" w:hAnsi="仿宋" w:eastAsia="仿宋"/>
                <w:b w:val="0"/>
                <w:sz w:val="18"/>
              </w:rPr>
              <w:t>属特别授权；法律允许的行政赔偿、补偿及行政裁量案件可调解，其他行政案件处分受限</w:t>
            </w:r>
          </w:p>
        </w:tc>
        <w:tc>
          <w:tcPr>
            <w:tcW w:type="dxa" w:w="2154"/>
            <w:vAlign w:val="top"/>
          </w:tcPr>
          <w:p>
            <w:pPr>
              <w:spacing w:line="276" w:lineRule="auto" w:after="0"/>
            </w:pPr>
            <w:r>
              <w:rPr>
                <w:rFonts w:ascii="仿宋" w:hAnsi="仿宋" w:eastAsia="仿宋"/>
                <w:b w:val="0"/>
                <w:sz w:val="18"/>
              </w:rPr>
              <w:t>不等于可以任意处分共同上诉人的全部权利</w:t>
            </w:r>
          </w:p>
        </w:tc>
      </w:tr>
      <w:tr>
        <w:tc>
          <w:tcPr>
            <w:tcW w:type="dxa" w:w="2154"/>
            <w:vAlign w:val="top"/>
          </w:tcPr>
          <w:p>
            <w:pPr>
              <w:spacing w:line="276" w:lineRule="auto" w:after="0"/>
            </w:pPr>
            <w:r>
              <w:rPr>
                <w:rFonts w:ascii="仿宋" w:hAnsi="仿宋" w:eastAsia="仿宋"/>
                <w:b w:val="0"/>
                <w:sz w:val="18"/>
              </w:rPr>
              <w:t>代为提起上诉</w:t>
            </w:r>
          </w:p>
        </w:tc>
        <w:tc>
          <w:tcPr>
            <w:tcW w:type="dxa" w:w="2154"/>
            <w:vAlign w:val="top"/>
          </w:tcPr>
          <w:p>
            <w:pPr>
              <w:spacing w:line="276" w:lineRule="auto" w:after="0"/>
            </w:pPr>
            <w:r>
              <w:rPr>
                <w:rFonts w:ascii="仿宋" w:hAnsi="仿宋" w:eastAsia="仿宋"/>
                <w:b w:val="0"/>
                <w:sz w:val="18"/>
              </w:rPr>
              <w:t>法律确定结论</w:t>
            </w:r>
          </w:p>
        </w:tc>
        <w:tc>
          <w:tcPr>
            <w:tcW w:type="dxa" w:w="2154"/>
            <w:vAlign w:val="top"/>
          </w:tcPr>
          <w:p>
            <w:pPr>
              <w:spacing w:line="276" w:lineRule="auto" w:after="0"/>
            </w:pPr>
            <w:r>
              <w:rPr>
                <w:rFonts w:ascii="仿宋" w:hAnsi="仿宋" w:eastAsia="仿宋"/>
                <w:b w:val="0"/>
                <w:sz w:val="18"/>
              </w:rPr>
              <w:t>足以授权代理人提出上诉、提交上诉状，启动二审</w:t>
            </w:r>
          </w:p>
        </w:tc>
        <w:tc>
          <w:tcPr>
            <w:tcW w:type="dxa" w:w="2154"/>
            <w:vAlign w:val="top"/>
          </w:tcPr>
          <w:p>
            <w:pPr>
              <w:spacing w:line="276" w:lineRule="auto" w:after="0"/>
            </w:pPr>
            <w:r>
              <w:rPr>
                <w:rFonts w:ascii="仿宋" w:hAnsi="仿宋" w:eastAsia="仿宋"/>
                <w:b w:val="0"/>
                <w:sz w:val="18"/>
              </w:rPr>
              <w:t>代理人应以自己的真实姓名和代理人身份签署，不能冒签黄敏；此项</w:t>
            </w:r>
            <w:r>
              <w:rPr>
                <w:rFonts w:ascii="仿宋" w:hAnsi="仿宋" w:eastAsia="仿宋"/>
                <w:b/>
                <w:sz w:val="18"/>
              </w:rPr>
              <w:t>单独看</w:t>
            </w:r>
            <w:r>
              <w:rPr>
                <w:rFonts w:ascii="仿宋" w:hAnsi="仿宋" w:eastAsia="仿宋"/>
                <w:b w:val="0"/>
                <w:sz w:val="18"/>
              </w:rPr>
              <w:t>不等于代理全部二审程序</w:t>
            </w:r>
          </w:p>
        </w:tc>
      </w:tr>
    </w:tbl>
    <w:p>
      <w:pPr>
        <w:spacing w:after="80"/>
      </w:pPr>
    </w:p>
    <w:p>
      <w:pPr>
        <w:keepNext/>
        <w:spacing w:line="360" w:lineRule="auto" w:before="200" w:after="80"/>
      </w:pPr>
      <w:r>
        <w:rPr>
          <w:rFonts w:ascii="黑体" w:hAnsi="黑体" w:eastAsia="黑体"/>
          <w:b/>
          <w:sz w:val="32"/>
        </w:rPr>
        <w:t>五、“代为提起上诉”与“代理全部二审”不是同一概念</w:t>
      </w:r>
    </w:p>
    <w:p>
      <w:pPr>
        <w:keepNext/>
        <w:spacing w:line="360" w:lineRule="auto" w:before="140" w:after="0"/>
      </w:pPr>
      <w:r>
        <w:rPr>
          <w:rFonts w:ascii="黑体" w:hAnsi="黑体" w:eastAsia="黑体"/>
          <w:b/>
          <w:sz w:val="30"/>
        </w:rPr>
        <w:t>1. 可以确定的权限</w:t>
      </w:r>
    </w:p>
    <w:p>
      <w:pPr>
        <w:spacing w:line="360" w:lineRule="auto" w:before="0" w:after="0"/>
        <w:ind w:firstLine="629"/>
      </w:pPr>
      <w:r>
        <w:rPr>
          <w:rFonts w:ascii="仿宋" w:hAnsi="仿宋" w:eastAsia="仿宋"/>
          <w:b w:val="0"/>
          <w:sz w:val="30"/>
        </w:rPr>
        <w:t>“代为提起上诉”是启动第二审程序的特别授权。最高人民法院授权委托书示范说明也把“提起上诉”列为须特别授权事项。因此，代理人可以：</w:t>
      </w:r>
    </w:p>
    <w:p>
      <w:pPr>
        <w:spacing w:line="312" w:lineRule="auto" w:before="80" w:after="80"/>
        <w:ind w:left="397" w:right="227"/>
        <w:pBdr>
          <w:left w:val="single" w:sz="18" w:space="8" w:color="9E2A2B"/>
        </w:pBdr>
      </w:pPr>
      <w:r>
        <w:rPr>
          <w:rFonts w:ascii="仿宋" w:hAnsi="仿宋" w:eastAsia="仿宋"/>
          <w:b/>
          <w:color w:val="C00000"/>
          <w:sz w:val="24"/>
        </w:rPr>
        <w:t>【批注】权限边界：代理人如在上诉状上签字，应签自己的真实姓名并注明诉讼代理人身份，不得在黄敏姓名处代写或仿签。</w:t>
      </w:r>
    </w:p>
    <w:p>
      <w:pPr>
        <w:spacing w:line="360" w:lineRule="auto" w:before="0" w:after="0"/>
        <w:ind w:hanging="340" w:left="680"/>
      </w:pPr>
      <w:r>
        <w:rPr>
          <w:rFonts w:ascii="仿宋" w:hAnsi="仿宋" w:eastAsia="仿宋"/>
          <w:b w:val="0"/>
          <w:sz w:val="30"/>
        </w:rPr>
        <w:t>1. 在授权范围内起草和提交上诉状；</w:t>
      </w:r>
    </w:p>
    <w:p>
      <w:pPr>
        <w:spacing w:line="360" w:lineRule="auto" w:before="0" w:after="0"/>
        <w:ind w:hanging="340" w:left="680"/>
      </w:pPr>
      <w:r>
        <w:rPr>
          <w:rFonts w:ascii="仿宋" w:hAnsi="仿宋" w:eastAsia="仿宋"/>
          <w:b w:val="0"/>
          <w:sz w:val="30"/>
        </w:rPr>
        <w:t>2. 在上诉状上以“委托诉讼代理人李燕”或“委托诉讼代理人冯宇”的真实身份签名；</w:t>
      </w:r>
    </w:p>
    <w:p>
      <w:pPr>
        <w:spacing w:line="360" w:lineRule="auto" w:before="0" w:after="0"/>
        <w:ind w:hanging="340" w:left="680"/>
      </w:pPr>
      <w:r>
        <w:rPr>
          <w:rFonts w:ascii="仿宋" w:hAnsi="仿宋" w:eastAsia="仿宋"/>
          <w:b w:val="0"/>
          <w:sz w:val="30"/>
        </w:rPr>
        <w:t>3. 办理递交副本、补充上诉理由等与提起上诉直接相关的事项。</w:t>
      </w:r>
    </w:p>
    <w:p>
      <w:pPr>
        <w:spacing w:line="360" w:lineRule="auto" w:before="0" w:after="0"/>
        <w:ind w:firstLine="629"/>
      </w:pPr>
      <w:r>
        <w:rPr>
          <w:rFonts w:ascii="仿宋" w:hAnsi="仿宋" w:eastAsia="仿宋"/>
          <w:b w:val="0"/>
          <w:sz w:val="30"/>
        </w:rPr>
        <w:t>但最高人民法院行政上诉状范本的通常格式是“上诉人签名或盖章”。</w:t>
      </w:r>
      <w:hyperlink r:id="rId17">
        <w:r>
          <w:rPr>
            <w:rFonts w:eastAsia="仿宋" w:ascii="仿宋" w:hAnsi="仿宋"/>
            <w:color w:val="1F4E79"/>
            <w:u w:val="single"/>
            <w:sz w:val="30"/>
          </w:rPr>
          <w:t>最高人民法院：行政上诉状范本及说明</w:t>
        </w:r>
      </w:hyperlink>
      <w:r>
        <w:rPr>
          <w:rFonts w:ascii="仿宋" w:hAnsi="仿宋" w:eastAsia="仿宋"/>
          <w:b w:val="0"/>
          <w:sz w:val="30"/>
        </w:rPr>
        <w:t xml:space="preserve"> 因此，最稳妥的签署方式仍是黄敏本人签名；代理人签署时必须清楚表明代理人身份并附特别授权，不应在“黄敏”处模仿或代写其签名。本案上诉已经被受理并发出传票，说明启动二审这一环节现实中已经通过了初步程序审查，但不等于二审法院放弃对开庭代理资格的进一步核验。</w:t>
      </w:r>
    </w:p>
    <w:p>
      <w:pPr>
        <w:keepNext/>
        <w:spacing w:line="360" w:lineRule="auto" w:before="140" w:after="0"/>
      </w:pPr>
      <w:r>
        <w:rPr>
          <w:rFonts w:ascii="黑体" w:hAnsi="黑体" w:eastAsia="黑体"/>
          <w:b/>
          <w:sz w:val="30"/>
        </w:rPr>
        <w:t>2. 为什么不能仅凭这一句话包办全部二审</w:t>
      </w:r>
    </w:p>
    <w:p>
      <w:pPr>
        <w:spacing w:line="360" w:lineRule="auto" w:before="0" w:after="0"/>
        <w:ind w:firstLine="629"/>
      </w:pPr>
      <w:r>
        <w:rPr>
          <w:rFonts w:ascii="仿宋" w:hAnsi="仿宋" w:eastAsia="仿宋"/>
          <w:b w:val="0"/>
          <w:sz w:val="30"/>
        </w:rPr>
        <w:t>提出上诉是一个启动行为；二审中的调查、举证、质证、辩论、和解、签收裁判文书是后续一系列行为。只写“代为提起上诉”，不能自然扩张为所有后续权限。</w:t>
      </w:r>
    </w:p>
    <w:p>
      <w:pPr>
        <w:spacing w:line="360" w:lineRule="auto" w:before="0" w:after="0"/>
        <w:ind w:firstLine="629"/>
      </w:pPr>
      <w:r>
        <w:rPr>
          <w:rFonts w:ascii="仿宋" w:hAnsi="仿宋" w:eastAsia="仿宋"/>
          <w:b w:val="0"/>
          <w:sz w:val="30"/>
        </w:rPr>
        <w:t>本案之所以有较强的“覆盖二审全程”解释空间，不是因为“代为提起上诉”这一句本身，而是因为原授权还逐项写了提交证据、参加法庭辩论、签收法律文书等持续性诉讼行为，并且没有明文限定“仅限一审”。</w:t>
      </w:r>
    </w:p>
    <w:p>
      <w:pPr>
        <w:keepNext/>
        <w:spacing w:line="360" w:lineRule="auto" w:before="200" w:after="80"/>
      </w:pPr>
      <w:r>
        <w:rPr>
          <w:rFonts w:ascii="黑体" w:hAnsi="黑体" w:eastAsia="黑体"/>
          <w:b/>
          <w:sz w:val="32"/>
        </w:rPr>
        <w:t>六、原授权继续有效的最强理由与法院可能反对的理由</w:t>
      </w:r>
    </w:p>
    <w:p>
      <w:pPr>
        <w:keepNext/>
        <w:spacing w:line="360" w:lineRule="auto" w:before="140" w:after="0"/>
      </w:pPr>
      <w:r>
        <w:rPr>
          <w:rFonts w:ascii="黑体" w:hAnsi="黑体" w:eastAsia="黑体"/>
          <w:b/>
          <w:sz w:val="30"/>
        </w:rPr>
        <w:t>1. 支持继续有效的最强理由</w:t>
      </w:r>
    </w:p>
    <w:p>
      <w:pPr>
        <w:spacing w:line="360" w:lineRule="auto" w:before="0" w:after="0"/>
        <w:ind w:hanging="340" w:left="680"/>
      </w:pPr>
      <w:r>
        <w:rPr>
          <w:rFonts w:ascii="仿宋" w:hAnsi="仿宋" w:eastAsia="仿宋"/>
          <w:b w:val="0"/>
          <w:sz w:val="30"/>
        </w:rPr>
        <w:t xml:space="preserve">1. </w:t>
      </w:r>
      <w:r>
        <w:rPr>
          <w:rFonts w:ascii="仿宋" w:hAnsi="仿宋" w:eastAsia="仿宋"/>
          <w:b/>
          <w:sz w:val="30"/>
        </w:rPr>
        <w:t>同一案件和同一争议连续推进。</w:t>
      </w:r>
      <w:r>
        <w:rPr>
          <w:rFonts w:ascii="仿宋" w:hAnsi="仿宋" w:eastAsia="仿宋"/>
          <w:b w:val="0"/>
          <w:sz w:val="30"/>
        </w:rPr>
        <w:t>二审不是另一个独立实体争议，而是对同一案件一审裁判的上诉审。</w:t>
      </w:r>
    </w:p>
    <w:p>
      <w:pPr>
        <w:spacing w:line="360" w:lineRule="auto" w:before="0" w:after="0"/>
        <w:ind w:hanging="340" w:left="680"/>
      </w:pPr>
      <w:r>
        <w:rPr>
          <w:rFonts w:ascii="仿宋" w:hAnsi="仿宋" w:eastAsia="仿宋"/>
          <w:b w:val="0"/>
          <w:sz w:val="30"/>
        </w:rPr>
        <w:t xml:space="preserve">2. </w:t>
      </w:r>
      <w:r>
        <w:rPr>
          <w:rFonts w:ascii="仿宋" w:hAnsi="仿宋" w:eastAsia="仿宋"/>
          <w:b/>
          <w:sz w:val="30"/>
        </w:rPr>
        <w:t>文本没有审级限制。</w:t>
      </w:r>
      <w:r>
        <w:rPr>
          <w:rFonts w:ascii="仿宋" w:hAnsi="仿宋" w:eastAsia="仿宋"/>
          <w:b w:val="0"/>
          <w:sz w:val="30"/>
        </w:rPr>
        <w:t>原授权没有“仅限第一审”“一审判决作出即终止”等限制。</w:t>
      </w:r>
    </w:p>
    <w:p>
      <w:pPr>
        <w:spacing w:line="360" w:lineRule="auto" w:before="0" w:after="0"/>
        <w:ind w:hanging="340" w:left="680"/>
      </w:pPr>
      <w:r>
        <w:rPr>
          <w:rFonts w:ascii="仿宋" w:hAnsi="仿宋" w:eastAsia="仿宋"/>
          <w:b w:val="0"/>
          <w:sz w:val="30"/>
        </w:rPr>
        <w:t xml:space="preserve">3. </w:t>
      </w:r>
      <w:r>
        <w:rPr>
          <w:rFonts w:ascii="仿宋" w:hAnsi="仿宋" w:eastAsia="仿宋"/>
          <w:b/>
          <w:sz w:val="30"/>
        </w:rPr>
        <w:t>明确包含上诉。</w:t>
      </w:r>
      <w:r>
        <w:rPr>
          <w:rFonts w:ascii="仿宋" w:hAnsi="仿宋" w:eastAsia="仿宋"/>
          <w:b w:val="0"/>
          <w:sz w:val="30"/>
        </w:rPr>
        <w:t>“代为提起上诉”直接表明委托人预见并授权进入二审。</w:t>
      </w:r>
    </w:p>
    <w:p>
      <w:pPr>
        <w:spacing w:line="360" w:lineRule="auto" w:before="0" w:after="0"/>
        <w:ind w:hanging="340" w:left="680"/>
      </w:pPr>
      <w:r>
        <w:rPr>
          <w:rFonts w:ascii="仿宋" w:hAnsi="仿宋" w:eastAsia="仿宋"/>
          <w:b w:val="0"/>
          <w:sz w:val="30"/>
        </w:rPr>
        <w:t xml:space="preserve">4. </w:t>
      </w:r>
      <w:r>
        <w:rPr>
          <w:rFonts w:ascii="仿宋" w:hAnsi="仿宋" w:eastAsia="仿宋"/>
          <w:b/>
          <w:sz w:val="30"/>
        </w:rPr>
        <w:t>后续权限与二审高度对应。</w:t>
      </w:r>
      <w:r>
        <w:rPr>
          <w:rFonts w:ascii="仿宋" w:hAnsi="仿宋" w:eastAsia="仿宋"/>
          <w:b w:val="0"/>
          <w:sz w:val="30"/>
        </w:rPr>
        <w:t>提交证据、法庭辩论、签收法律文书不是只有一审才会发生。</w:t>
      </w:r>
    </w:p>
    <w:p>
      <w:pPr>
        <w:spacing w:line="360" w:lineRule="auto" w:before="0" w:after="0"/>
        <w:ind w:hanging="340" w:left="680"/>
      </w:pPr>
      <w:r>
        <w:rPr>
          <w:rFonts w:ascii="仿宋" w:hAnsi="仿宋" w:eastAsia="仿宋"/>
          <w:b w:val="0"/>
          <w:sz w:val="30"/>
        </w:rPr>
        <w:t xml:space="preserve">5. </w:t>
      </w:r>
      <w:r>
        <w:rPr>
          <w:rFonts w:ascii="仿宋" w:hAnsi="仿宋" w:eastAsia="仿宋"/>
          <w:b/>
          <w:sz w:val="30"/>
        </w:rPr>
        <w:t>没有书面解除或变更。</w:t>
      </w:r>
      <w:r>
        <w:rPr>
          <w:rFonts w:ascii="仿宋" w:hAnsi="仿宋" w:eastAsia="仿宋"/>
          <w:b w:val="0"/>
          <w:sz w:val="30"/>
        </w:rPr>
        <w:t>行政诉讼法司法解释第三十一条要求解除或变更委托书面报告法院；目前没有此类材料。</w:t>
      </w:r>
    </w:p>
    <w:p>
      <w:pPr>
        <w:spacing w:line="360" w:lineRule="auto" w:before="0" w:after="0"/>
        <w:ind w:hanging="340" w:left="680"/>
      </w:pPr>
      <w:r>
        <w:rPr>
          <w:rFonts w:ascii="仿宋" w:hAnsi="仿宋" w:eastAsia="仿宋"/>
          <w:b w:val="0"/>
          <w:sz w:val="30"/>
        </w:rPr>
        <w:t xml:space="preserve">6. </w:t>
      </w:r>
      <w:r>
        <w:rPr>
          <w:rFonts w:ascii="仿宋" w:hAnsi="仿宋" w:eastAsia="仿宋"/>
          <w:b/>
          <w:sz w:val="30"/>
        </w:rPr>
        <w:t>一审法院已认可代理人身份。</w:t>
      </w:r>
      <w:r>
        <w:rPr>
          <w:rFonts w:ascii="仿宋" w:hAnsi="仿宋" w:eastAsia="仿宋"/>
          <w:b w:val="0"/>
          <w:sz w:val="30"/>
        </w:rPr>
        <w:t>一审判决载明李燕、冯宇均为委托代理人，至少证明代理关系不是开庭前临时虚构。</w:t>
      </w:r>
    </w:p>
    <w:p>
      <w:pPr>
        <w:spacing w:line="360" w:lineRule="auto" w:before="0" w:after="0"/>
        <w:ind w:hanging="340" w:left="680"/>
      </w:pPr>
      <w:r>
        <w:rPr>
          <w:rFonts w:ascii="仿宋" w:hAnsi="仿宋" w:eastAsia="仿宋"/>
          <w:b w:val="0"/>
          <w:sz w:val="30"/>
        </w:rPr>
        <w:t xml:space="preserve">7. </w:t>
      </w:r>
      <w:r>
        <w:rPr>
          <w:rFonts w:ascii="仿宋" w:hAnsi="仿宋" w:eastAsia="仿宋"/>
          <w:b/>
          <w:sz w:val="30"/>
        </w:rPr>
        <w:t>上诉已经受理。</w:t>
      </w:r>
      <w:r>
        <w:rPr>
          <w:rFonts w:ascii="仿宋" w:hAnsi="仿宋" w:eastAsia="仿宋"/>
          <w:b w:val="0"/>
          <w:sz w:val="30"/>
        </w:rPr>
        <w:t>二审立案、发传票说明法院已接收上诉，不应无视既有卷宗和已发生的程序事实。</w:t>
      </w:r>
    </w:p>
    <w:p>
      <w:pPr>
        <w:keepNext/>
        <w:spacing w:line="360" w:lineRule="auto" w:before="140" w:after="0"/>
      </w:pPr>
      <w:r>
        <w:rPr>
          <w:rFonts w:ascii="黑体" w:hAnsi="黑体" w:eastAsia="黑体"/>
          <w:b/>
          <w:sz w:val="30"/>
        </w:rPr>
        <w:t>2. 二审法院可能提出的反对理由</w:t>
      </w:r>
    </w:p>
    <w:p>
      <w:pPr>
        <w:spacing w:line="360" w:lineRule="auto" w:before="0" w:after="0"/>
        <w:ind w:hanging="340" w:left="680"/>
      </w:pPr>
      <w:r>
        <w:rPr>
          <w:rFonts w:ascii="仿宋" w:hAnsi="仿宋" w:eastAsia="仿宋"/>
          <w:b w:val="0"/>
          <w:sz w:val="30"/>
        </w:rPr>
        <w:t>1. 原授权尾部写明“此致长沙铁路运输法院”，可能被理解为提交对象和审级背景均限于一审。</w:t>
      </w:r>
    </w:p>
    <w:p>
      <w:pPr>
        <w:spacing w:line="360" w:lineRule="auto" w:before="0" w:after="0"/>
        <w:ind w:hanging="340" w:left="680"/>
      </w:pPr>
      <w:r>
        <w:rPr>
          <w:rFonts w:ascii="仿宋" w:hAnsi="仿宋" w:eastAsia="仿宋"/>
          <w:b w:val="0"/>
          <w:sz w:val="30"/>
        </w:rPr>
        <w:t>2. 原授权称黄敏、熊玲翠为“原告”，没有写“二审上诉人”或二审案号。</w:t>
      </w:r>
    </w:p>
    <w:p>
      <w:pPr>
        <w:spacing w:line="360" w:lineRule="auto" w:before="0" w:after="0"/>
        <w:ind w:hanging="340" w:left="680"/>
      </w:pPr>
      <w:r>
        <w:rPr>
          <w:rFonts w:ascii="仿宋" w:hAnsi="仿宋" w:eastAsia="仿宋"/>
          <w:b w:val="0"/>
          <w:sz w:val="30"/>
        </w:rPr>
        <w:t>3. “代为提起上诉”可以解释为授权启动二审，而不是自动延续到二审判决送达。</w:t>
      </w:r>
    </w:p>
    <w:p>
      <w:pPr>
        <w:spacing w:line="360" w:lineRule="auto" w:before="0" w:after="0"/>
        <w:ind w:hanging="340" w:left="680"/>
      </w:pPr>
      <w:r>
        <w:rPr>
          <w:rFonts w:ascii="仿宋" w:hAnsi="仿宋" w:eastAsia="仿宋"/>
          <w:b w:val="0"/>
          <w:sz w:val="30"/>
        </w:rPr>
        <w:t>4. 原授权未写期限，二审法院可能认为在一审程序完成、上诉提出后，代理事项已完成。</w:t>
      </w:r>
    </w:p>
    <w:p>
      <w:pPr>
        <w:spacing w:line="360" w:lineRule="auto" w:before="0" w:after="0"/>
        <w:ind w:hanging="340" w:left="680"/>
      </w:pPr>
      <w:r>
        <w:rPr>
          <w:rFonts w:ascii="仿宋" w:hAnsi="仿宋" w:eastAsia="仿宋"/>
          <w:b w:val="0"/>
          <w:sz w:val="30"/>
        </w:rPr>
        <w:t>5. 二审法院对诉讼代理资格负有独立审查职责，不受一审法院程序性认可的当然拘束。</w:t>
      </w:r>
    </w:p>
    <w:p>
      <w:pPr>
        <w:spacing w:line="360" w:lineRule="auto" w:before="0" w:after="0"/>
        <w:ind w:hanging="340" w:left="680"/>
      </w:pPr>
      <w:r>
        <w:rPr>
          <w:rFonts w:ascii="仿宋" w:hAnsi="仿宋" w:eastAsia="仿宋"/>
          <w:b w:val="0"/>
          <w:sz w:val="30"/>
        </w:rPr>
        <w:t>6. 当前本地没有签署原件，二审法院需要以一审卷内原件核验委托人、受托人和具体权限。</w:t>
      </w:r>
    </w:p>
    <w:p>
      <w:pPr>
        <w:keepNext/>
        <w:spacing w:line="360" w:lineRule="auto" w:before="140" w:after="0"/>
      </w:pPr>
      <w:r>
        <w:rPr>
          <w:rFonts w:ascii="黑体" w:hAnsi="黑体" w:eastAsia="黑体"/>
          <w:b/>
          <w:sz w:val="30"/>
        </w:rPr>
        <w:t>3. 法院名称不同的法律影响</w:t>
      </w:r>
    </w:p>
    <w:p>
      <w:pPr>
        <w:spacing w:line="360" w:lineRule="auto" w:before="0" w:after="0"/>
        <w:ind w:firstLine="629"/>
      </w:pPr>
      <w:r>
        <w:rPr>
          <w:rFonts w:ascii="仿宋" w:hAnsi="仿宋" w:eastAsia="仿宋"/>
          <w:b/>
          <w:sz w:val="30"/>
        </w:rPr>
        <w:t>【法律确定结论】</w:t>
      </w:r>
      <w:r>
        <w:rPr>
          <w:rFonts w:ascii="仿宋" w:hAnsi="仿宋" w:eastAsia="仿宋"/>
          <w:b w:val="0"/>
          <w:sz w:val="30"/>
        </w:rPr>
        <w:t>“此致长沙铁路运输法院”不会仅因二审法院名称不同，就当然使整份授权书法定无效；法律没有这种自动失效规则。</w:t>
      </w:r>
    </w:p>
    <w:p>
      <w:pPr>
        <w:spacing w:line="360" w:lineRule="auto" w:before="0" w:after="0"/>
        <w:ind w:firstLine="629"/>
      </w:pPr>
      <w:r>
        <w:rPr>
          <w:rFonts w:ascii="仿宋" w:hAnsi="仿宋" w:eastAsia="仿宋"/>
          <w:b/>
          <w:sz w:val="30"/>
        </w:rPr>
        <w:t>【合理解释结论】</w:t>
      </w:r>
      <w:r>
        <w:rPr>
          <w:rFonts w:ascii="仿宋" w:hAnsi="仿宋" w:eastAsia="仿宋"/>
          <w:b w:val="0"/>
          <w:sz w:val="30"/>
        </w:rPr>
        <w:t>法院名称属于判断委托范围的重要上下文。若正文同时写明提起上诉和持续性权限，它更像提交对象而非绝对审级限制；若正文只围绕一审，它可能被理解为授权范围限定。</w:t>
      </w:r>
    </w:p>
    <w:p>
      <w:pPr>
        <w:spacing w:line="360" w:lineRule="auto" w:before="0" w:after="0"/>
        <w:ind w:firstLine="629"/>
      </w:pPr>
      <w:r>
        <w:rPr>
          <w:rFonts w:ascii="仿宋" w:hAnsi="仿宋" w:eastAsia="仿宋"/>
          <w:b/>
          <w:sz w:val="30"/>
        </w:rPr>
        <w:t>【强烈操作建议】</w:t>
      </w:r>
      <w:r>
        <w:rPr>
          <w:rFonts w:ascii="仿宋" w:hAnsi="仿宋" w:eastAsia="仿宋"/>
          <w:b w:val="0"/>
          <w:sz w:val="30"/>
        </w:rPr>
        <w:t>已经签署的旧授权必须原样提交。不能删除“长沙铁路运输法院”，不能复制旧签名到修改后的版本。删除签署后的文字会使提交件与一审卷内原件不一致，徒增真实性风险。</w:t>
      </w:r>
    </w:p>
    <w:p>
      <w:pPr>
        <w:spacing w:line="312" w:lineRule="auto" w:before="80" w:after="80"/>
        <w:ind w:left="397" w:right="227"/>
        <w:pBdr>
          <w:left w:val="single" w:sz="18" w:space="8" w:color="9E2A2B"/>
        </w:pBdr>
      </w:pPr>
      <w:r>
        <w:rPr>
          <w:rFonts w:ascii="仿宋" w:hAnsi="仿宋" w:eastAsia="仿宋"/>
          <w:b/>
          <w:color w:val="C00000"/>
          <w:sz w:val="24"/>
        </w:rPr>
        <w:t>【批注】文书真实性风险：删除一审法院名称会使提交件与卷内原件不一致，不能采用。</w:t>
      </w:r>
    </w:p>
    <w:p>
      <w:pPr>
        <w:keepNext/>
        <w:spacing w:line="360" w:lineRule="auto" w:before="200" w:after="80"/>
      </w:pPr>
      <w:r>
        <w:rPr>
          <w:rFonts w:ascii="黑体" w:hAnsi="黑体" w:eastAsia="黑体"/>
          <w:b/>
          <w:sz w:val="32"/>
        </w:rPr>
        <w:t>七、原代理人能否签署新的二审授权书</w:t>
      </w:r>
    </w:p>
    <w:tbl>
      <w:tblPr>
        <w:tblStyle w:val="TableGrid"/>
        <w:tblW w:type="auto" w:w="0"/>
        <w:jc w:val="center"/>
        <w:tblLayout w:type="autofit"/>
        <w:tblLook w:firstColumn="1" w:firstRow="1" w:lastColumn="0" w:lastRow="0" w:noHBand="0" w:noVBand="1" w:val="04A0"/>
      </w:tblPr>
      <w:tblGrid>
        <w:gridCol w:w="2873"/>
        <w:gridCol w:w="2873"/>
        <w:gridCol w:w="2873"/>
      </w:tblGrid>
      <w:tr>
        <w:trPr>
          <w:tblHeader w:val="true"/>
        </w:trPr>
        <w:tc>
          <w:tcPr>
            <w:tcW w:type="dxa" w:w="2873"/>
            <w:shd w:fill="E8EDF3"/>
            <w:vAlign w:val="center"/>
          </w:tcPr>
          <w:p>
            <w:pPr>
              <w:spacing w:line="276" w:lineRule="auto"/>
              <w:jc w:val="center"/>
            </w:pPr>
            <w:r>
              <w:rPr>
                <w:rFonts w:ascii="黑体" w:hAnsi="黑体" w:eastAsia="黑体"/>
                <w:b/>
                <w:sz w:val="18"/>
              </w:rPr>
              <w:t>做法</w:t>
            </w:r>
          </w:p>
        </w:tc>
        <w:tc>
          <w:tcPr>
            <w:tcW w:type="dxa" w:w="2873"/>
            <w:shd w:fill="E8EDF3"/>
            <w:vAlign w:val="center"/>
          </w:tcPr>
          <w:p>
            <w:pPr>
              <w:spacing w:line="276" w:lineRule="auto"/>
              <w:jc w:val="center"/>
            </w:pPr>
            <w:r>
              <w:rPr>
                <w:rFonts w:ascii="黑体" w:hAnsi="黑体" w:eastAsia="黑体"/>
                <w:b/>
                <w:sz w:val="18"/>
              </w:rPr>
              <w:t>法律效力</w:t>
            </w:r>
          </w:p>
        </w:tc>
        <w:tc>
          <w:tcPr>
            <w:tcW w:type="dxa" w:w="2873"/>
            <w:shd w:fill="E8EDF3"/>
            <w:vAlign w:val="center"/>
          </w:tcPr>
          <w:p>
            <w:pPr>
              <w:spacing w:line="276" w:lineRule="auto"/>
              <w:jc w:val="center"/>
            </w:pPr>
            <w:r>
              <w:rPr>
                <w:rFonts w:ascii="黑体" w:hAnsi="黑体" w:eastAsia="黑体"/>
                <w:b/>
                <w:sz w:val="18"/>
              </w:rPr>
              <w:t>风险判断</w:t>
            </w:r>
          </w:p>
        </w:tc>
      </w:tr>
      <w:tr>
        <w:tc>
          <w:tcPr>
            <w:tcW w:type="dxa" w:w="2873"/>
            <w:vAlign w:val="top"/>
          </w:tcPr>
          <w:p>
            <w:pPr>
              <w:spacing w:line="276" w:lineRule="auto" w:after="0"/>
            </w:pPr>
            <w:r>
              <w:rPr>
                <w:rFonts w:ascii="仿宋" w:hAnsi="仿宋" w:eastAsia="仿宋"/>
                <w:b w:val="0"/>
                <w:sz w:val="18"/>
              </w:rPr>
              <w:t>模仿黄敏本人签名</w:t>
            </w:r>
          </w:p>
        </w:tc>
        <w:tc>
          <w:tcPr>
            <w:tcW w:type="dxa" w:w="2873"/>
            <w:vAlign w:val="top"/>
          </w:tcPr>
          <w:p>
            <w:pPr>
              <w:spacing w:line="276" w:lineRule="auto" w:after="0"/>
            </w:pPr>
            <w:r>
              <w:rPr>
                <w:rFonts w:ascii="仿宋" w:hAnsi="仿宋" w:eastAsia="仿宋"/>
                <w:b w:val="0"/>
                <w:sz w:val="18"/>
              </w:rPr>
              <w:t>不产生真实授权；属于提供非本人签署材料</w:t>
            </w:r>
          </w:p>
        </w:tc>
        <w:tc>
          <w:tcPr>
            <w:tcW w:type="dxa" w:w="2873"/>
            <w:vAlign w:val="top"/>
          </w:tcPr>
          <w:p>
            <w:pPr>
              <w:spacing w:line="276" w:lineRule="auto" w:after="0"/>
            </w:pPr>
            <w:r>
              <w:rPr>
                <w:rFonts w:ascii="仿宋" w:hAnsi="仿宋" w:eastAsia="仿宋"/>
                <w:b w:val="0"/>
                <w:sz w:val="18"/>
              </w:rPr>
              <w:t>禁止。可能导致代理资格被否定、材料被排除、法院责令说明；情节达到妨害审理程度时，可能适用行政诉讼法第五十九条</w:t>
            </w:r>
          </w:p>
        </w:tc>
      </w:tr>
      <w:tr>
        <w:tc>
          <w:tcPr>
            <w:tcW w:type="dxa" w:w="2873"/>
            <w:vAlign w:val="top"/>
          </w:tcPr>
          <w:p>
            <w:pPr>
              <w:spacing w:line="276" w:lineRule="auto" w:after="0"/>
            </w:pPr>
            <w:r>
              <w:rPr>
                <w:rFonts w:ascii="仿宋" w:hAnsi="仿宋" w:eastAsia="仿宋"/>
                <w:b w:val="0"/>
                <w:sz w:val="18"/>
              </w:rPr>
              <w:t>写“黄敏（由李燕代签）”</w:t>
            </w:r>
          </w:p>
        </w:tc>
        <w:tc>
          <w:tcPr>
            <w:tcW w:type="dxa" w:w="2873"/>
            <w:vAlign w:val="top"/>
          </w:tcPr>
          <w:p>
            <w:pPr>
              <w:spacing w:line="276" w:lineRule="auto" w:after="0"/>
            </w:pPr>
            <w:r>
              <w:rPr>
                <w:rFonts w:ascii="仿宋" w:hAnsi="仿宋" w:eastAsia="仿宋"/>
                <w:b w:val="0"/>
                <w:sz w:val="18"/>
              </w:rPr>
              <w:t>原授权无代签新授权权限时，属于无权代签；未经黄敏依法追认，对黄敏不生效</w:t>
            </w:r>
          </w:p>
        </w:tc>
        <w:tc>
          <w:tcPr>
            <w:tcW w:type="dxa" w:w="2873"/>
            <w:vAlign w:val="top"/>
          </w:tcPr>
          <w:p>
            <w:pPr>
              <w:spacing w:line="276" w:lineRule="auto" w:after="0"/>
            </w:pPr>
            <w:r>
              <w:rPr>
                <w:rFonts w:ascii="仿宋" w:hAnsi="仿宋" w:eastAsia="仿宋"/>
                <w:b w:val="0"/>
                <w:sz w:val="18"/>
              </w:rPr>
              <w:t>不稳妥。即使字样真实，也不能解决代理人给自己创设权限的问题</w:t>
            </w:r>
          </w:p>
        </w:tc>
      </w:tr>
      <w:tr>
        <w:tc>
          <w:tcPr>
            <w:tcW w:type="dxa" w:w="2873"/>
            <w:vAlign w:val="top"/>
          </w:tcPr>
          <w:p>
            <w:pPr>
              <w:spacing w:line="276" w:lineRule="auto" w:after="0"/>
            </w:pPr>
            <w:r>
              <w:rPr>
                <w:rFonts w:ascii="仿宋" w:hAnsi="仿宋" w:eastAsia="仿宋"/>
                <w:b w:val="0"/>
                <w:sz w:val="18"/>
              </w:rPr>
              <w:t>李燕、冯宇以自己真实姓名签《情况说明》</w:t>
            </w:r>
          </w:p>
        </w:tc>
        <w:tc>
          <w:tcPr>
            <w:tcW w:type="dxa" w:w="2873"/>
            <w:vAlign w:val="top"/>
          </w:tcPr>
          <w:p>
            <w:pPr>
              <w:spacing w:line="276" w:lineRule="auto" w:after="0"/>
            </w:pPr>
            <w:r>
              <w:rPr>
                <w:rFonts w:ascii="仿宋" w:hAnsi="仿宋" w:eastAsia="仿宋"/>
                <w:b w:val="0"/>
                <w:sz w:val="18"/>
              </w:rPr>
              <w:t>可以证明其亲历事实、说明未收到解除通知、申请法院查卷和核验</w:t>
            </w:r>
          </w:p>
        </w:tc>
        <w:tc>
          <w:tcPr>
            <w:tcW w:type="dxa" w:w="2873"/>
            <w:vAlign w:val="top"/>
          </w:tcPr>
          <w:p>
            <w:pPr>
              <w:spacing w:line="276" w:lineRule="auto" w:after="0"/>
            </w:pPr>
            <w:r>
              <w:rPr>
                <w:rFonts w:ascii="仿宋" w:hAnsi="仿宋" w:eastAsia="仿宋"/>
                <w:b w:val="0"/>
                <w:sz w:val="18"/>
              </w:rPr>
              <w:t>可以，但说明只能解释旧授权，不能代替黄敏新授权，也不能扩大权限</w:t>
            </w:r>
          </w:p>
        </w:tc>
      </w:tr>
      <w:tr>
        <w:tc>
          <w:tcPr>
            <w:tcW w:type="dxa" w:w="2873"/>
            <w:vAlign w:val="top"/>
          </w:tcPr>
          <w:p>
            <w:pPr>
              <w:spacing w:line="276" w:lineRule="auto" w:after="0"/>
            </w:pPr>
            <w:r>
              <w:rPr>
                <w:rFonts w:ascii="仿宋" w:hAnsi="仿宋" w:eastAsia="仿宋"/>
                <w:b w:val="0"/>
                <w:sz w:val="18"/>
              </w:rPr>
              <w:t>黄敏明确另行授权某人代其在特定文件上签字</w:t>
            </w:r>
          </w:p>
        </w:tc>
        <w:tc>
          <w:tcPr>
            <w:tcW w:type="dxa" w:w="2873"/>
            <w:vAlign w:val="top"/>
          </w:tcPr>
          <w:p>
            <w:pPr>
              <w:spacing w:line="276" w:lineRule="auto" w:after="0"/>
            </w:pPr>
            <w:r>
              <w:rPr>
                <w:rFonts w:ascii="仿宋" w:hAnsi="仿宋" w:eastAsia="仿宋"/>
                <w:b w:val="0"/>
                <w:sz w:val="18"/>
              </w:rPr>
              <w:t>仍需证明这一“代签授权”的来源和形式</w:t>
            </w:r>
          </w:p>
        </w:tc>
        <w:tc>
          <w:tcPr>
            <w:tcW w:type="dxa" w:w="2873"/>
            <w:vAlign w:val="top"/>
          </w:tcPr>
          <w:p>
            <w:pPr>
              <w:spacing w:line="276" w:lineRule="auto" w:after="0"/>
            </w:pPr>
            <w:r>
              <w:rPr>
                <w:rFonts w:ascii="仿宋" w:hAnsi="仿宋" w:eastAsia="仿宋"/>
                <w:b w:val="0"/>
                <w:sz w:val="18"/>
              </w:rPr>
              <w:t>本案没有必要走此复杂路径；黄敏能亲笔签名，应直接本人签署</w:t>
            </w:r>
          </w:p>
        </w:tc>
      </w:tr>
    </w:tbl>
    <w:p>
      <w:pPr>
        <w:spacing w:after="80"/>
      </w:pPr>
    </w:p>
    <w:p>
      <w:pPr>
        <w:spacing w:line="360" w:lineRule="auto" w:before="0" w:after="0"/>
        <w:ind w:firstLine="629"/>
      </w:pPr>
      <w:r>
        <w:rPr>
          <w:rFonts w:ascii="仿宋" w:hAnsi="仿宋" w:eastAsia="仿宋"/>
          <w:b w:val="0"/>
          <w:sz w:val="30"/>
        </w:rPr>
        <w:t>《行政诉讼法》第五十九条规定，伪造、隐藏、毁灭证据或者提供虚假证明材料，妨害法院审理案件的，法院可视情训诫、责令具结悔过、罚款或拘留；只有达到犯罪构成时才追究刑责。</w:t>
      </w:r>
      <w:hyperlink r:id="rId18">
        <w:r>
          <w:rPr>
            <w:rFonts w:eastAsia="仿宋" w:ascii="仿宋" w:hAnsi="仿宋"/>
            <w:color w:val="1F4E79"/>
            <w:u w:val="single"/>
            <w:sz w:val="30"/>
          </w:rPr>
          <w:t>国家市场监督管理总局：中华人民共和国行政诉讼法</w:t>
        </w:r>
      </w:hyperlink>
    </w:p>
    <w:p>
      <w:pPr>
        <w:spacing w:line="360" w:lineRule="auto" w:before="0" w:after="0"/>
        <w:ind w:firstLine="629"/>
      </w:pPr>
      <w:r>
        <w:rPr>
          <w:rFonts w:ascii="仿宋" w:hAnsi="仿宋" w:eastAsia="仿宋"/>
          <w:b/>
          <w:sz w:val="30"/>
        </w:rPr>
        <w:t>【法律确定结论】</w:t>
      </w:r>
      <w:r>
        <w:rPr>
          <w:rFonts w:ascii="仿宋" w:hAnsi="仿宋" w:eastAsia="仿宋"/>
          <w:b w:val="0"/>
          <w:sz w:val="30"/>
        </w:rPr>
        <w:t>不能夸大为“只要代签就必然犯罪”，但明知无代签权限仍模仿黄敏签名并向法院提交，会把本来可以通过扫描、邮寄、在线核验解决的程序问题，升级为诚信和妨害诉讼风险，完全不值得。</w:t>
      </w:r>
    </w:p>
    <w:p>
      <w:pPr>
        <w:keepNext/>
        <w:spacing w:line="360" w:lineRule="auto" w:before="200" w:after="80"/>
      </w:pPr>
      <w:r>
        <w:rPr>
          <w:rFonts w:ascii="黑体" w:hAnsi="黑体" w:eastAsia="黑体"/>
          <w:b/>
          <w:sz w:val="32"/>
        </w:rPr>
        <w:t>八、外地旅游是否属于“特殊情况下无法书面委托”</w:t>
      </w:r>
    </w:p>
    <w:p>
      <w:pPr>
        <w:spacing w:line="360" w:lineRule="auto" w:before="0" w:after="0"/>
        <w:ind w:firstLine="629"/>
      </w:pPr>
      <w:r>
        <w:rPr>
          <w:rFonts w:ascii="仿宋" w:hAnsi="仿宋" w:eastAsia="仿宋"/>
          <w:b w:val="0"/>
          <w:sz w:val="30"/>
        </w:rPr>
        <w:t>司法解释第三十一条的例外处理的是公民</w:t>
      </w:r>
      <w:r>
        <w:rPr>
          <w:rFonts w:ascii="仿宋" w:hAnsi="仿宋" w:eastAsia="仿宋"/>
          <w:b/>
          <w:sz w:val="30"/>
        </w:rPr>
        <w:t>无法书面作出委托</w:t>
      </w:r>
      <w:r>
        <w:rPr>
          <w:rFonts w:ascii="仿宋" w:hAnsi="仿宋" w:eastAsia="仿宋"/>
          <w:b w:val="0"/>
          <w:sz w:val="30"/>
        </w:rPr>
        <w:t>的特殊情形，允许他人代书、本人捺印等确认，并由法院核实记录。</w:t>
      </w:r>
    </w:p>
    <w:p>
      <w:pPr>
        <w:spacing w:line="360" w:lineRule="auto" w:before="0" w:after="0"/>
        <w:ind w:firstLine="629"/>
      </w:pPr>
      <w:r>
        <w:rPr>
          <w:rFonts w:ascii="仿宋" w:hAnsi="仿宋" w:eastAsia="仿宋"/>
          <w:b w:val="0"/>
          <w:sz w:val="30"/>
        </w:rPr>
        <w:t>本案事实是：黄敏在外地旅游，身体和意识正常，能够阅读、表达和亲笔签名，只是短期无法回长沙、纸质原件可能赶不及送达。必须区分：</w:t>
      </w:r>
    </w:p>
    <w:tbl>
      <w:tblPr>
        <w:tblStyle w:val="TableGrid"/>
        <w:tblW w:type="auto" w:w="0"/>
        <w:jc w:val="center"/>
        <w:tblLayout w:type="autofit"/>
        <w:tblLook w:firstColumn="1" w:firstRow="1" w:lastColumn="0" w:lastRow="0" w:noHBand="0" w:noVBand="1" w:val="04A0"/>
      </w:tblPr>
      <w:tblGrid>
        <w:gridCol w:w="2873"/>
        <w:gridCol w:w="2873"/>
        <w:gridCol w:w="2873"/>
      </w:tblGrid>
      <w:tr>
        <w:trPr>
          <w:tblHeader w:val="true"/>
        </w:trPr>
        <w:tc>
          <w:tcPr>
            <w:tcW w:type="dxa" w:w="2873"/>
            <w:shd w:fill="E8EDF3"/>
            <w:vAlign w:val="center"/>
          </w:tcPr>
          <w:p>
            <w:pPr>
              <w:spacing w:line="276" w:lineRule="auto"/>
              <w:jc w:val="center"/>
            </w:pPr>
            <w:r>
              <w:rPr>
                <w:rFonts w:ascii="黑体" w:hAnsi="黑体" w:eastAsia="黑体"/>
                <w:b/>
                <w:sz w:val="18"/>
              </w:rPr>
              <w:t>状态</w:t>
            </w:r>
          </w:p>
        </w:tc>
        <w:tc>
          <w:tcPr>
            <w:tcW w:type="dxa" w:w="2873"/>
            <w:shd w:fill="E8EDF3"/>
            <w:vAlign w:val="center"/>
          </w:tcPr>
          <w:p>
            <w:pPr>
              <w:spacing w:line="276" w:lineRule="auto"/>
              <w:jc w:val="center"/>
            </w:pPr>
            <w:r>
              <w:rPr>
                <w:rFonts w:ascii="黑体" w:hAnsi="黑体" w:eastAsia="黑体"/>
                <w:b/>
                <w:sz w:val="18"/>
              </w:rPr>
              <w:t>是否属于本案事实</w:t>
            </w:r>
          </w:p>
        </w:tc>
        <w:tc>
          <w:tcPr>
            <w:tcW w:type="dxa" w:w="2873"/>
            <w:shd w:fill="E8EDF3"/>
            <w:vAlign w:val="center"/>
          </w:tcPr>
          <w:p>
            <w:pPr>
              <w:spacing w:line="276" w:lineRule="auto"/>
              <w:jc w:val="center"/>
            </w:pPr>
            <w:r>
              <w:rPr>
                <w:rFonts w:ascii="黑体" w:hAnsi="黑体" w:eastAsia="黑体"/>
                <w:b/>
                <w:sz w:val="18"/>
              </w:rPr>
              <w:t>法律评价</w:t>
            </w:r>
          </w:p>
        </w:tc>
      </w:tr>
      <w:tr>
        <w:tc>
          <w:tcPr>
            <w:tcW w:type="dxa" w:w="2873"/>
            <w:vAlign w:val="top"/>
          </w:tcPr>
          <w:p>
            <w:pPr>
              <w:spacing w:line="276" w:lineRule="auto" w:after="0"/>
            </w:pPr>
            <w:r>
              <w:rPr>
                <w:rFonts w:ascii="仿宋" w:hAnsi="仿宋" w:eastAsia="仿宋"/>
                <w:b w:val="0"/>
                <w:sz w:val="18"/>
              </w:rPr>
              <w:t>无法亲自到长沙法院</w:t>
            </w:r>
          </w:p>
        </w:tc>
        <w:tc>
          <w:tcPr>
            <w:tcW w:type="dxa" w:w="2873"/>
            <w:vAlign w:val="top"/>
          </w:tcPr>
          <w:p>
            <w:pPr>
              <w:spacing w:line="276" w:lineRule="auto" w:after="0"/>
            </w:pPr>
            <w:r>
              <w:rPr>
                <w:rFonts w:ascii="仿宋" w:hAnsi="仿宋" w:eastAsia="仿宋"/>
                <w:b w:val="0"/>
                <w:sz w:val="18"/>
              </w:rPr>
              <w:t>是</w:t>
            </w:r>
          </w:p>
        </w:tc>
        <w:tc>
          <w:tcPr>
            <w:tcW w:type="dxa" w:w="2873"/>
            <w:vAlign w:val="top"/>
          </w:tcPr>
          <w:p>
            <w:pPr>
              <w:spacing w:line="276" w:lineRule="auto" w:after="0"/>
            </w:pPr>
            <w:r>
              <w:rPr>
                <w:rFonts w:ascii="仿宋" w:hAnsi="仿宋" w:eastAsia="仿宋"/>
                <w:b w:val="0"/>
                <w:sz w:val="18"/>
              </w:rPr>
              <w:t>不等于无法书面委托；可异地签署和邮寄</w:t>
            </w:r>
          </w:p>
        </w:tc>
      </w:tr>
      <w:tr>
        <w:tc>
          <w:tcPr>
            <w:tcW w:type="dxa" w:w="2873"/>
            <w:vAlign w:val="top"/>
          </w:tcPr>
          <w:p>
            <w:pPr>
              <w:spacing w:line="276" w:lineRule="auto" w:after="0"/>
            </w:pPr>
            <w:r>
              <w:rPr>
                <w:rFonts w:ascii="仿宋" w:hAnsi="仿宋" w:eastAsia="仿宋"/>
                <w:b w:val="0"/>
                <w:sz w:val="18"/>
              </w:rPr>
              <w:t>无法亲笔书写或签名</w:t>
            </w:r>
          </w:p>
        </w:tc>
        <w:tc>
          <w:tcPr>
            <w:tcW w:type="dxa" w:w="2873"/>
            <w:vAlign w:val="top"/>
          </w:tcPr>
          <w:p>
            <w:pPr>
              <w:spacing w:line="276" w:lineRule="auto" w:after="0"/>
            </w:pPr>
            <w:r>
              <w:rPr>
                <w:rFonts w:ascii="仿宋" w:hAnsi="仿宋" w:eastAsia="仿宋"/>
                <w:b w:val="0"/>
                <w:sz w:val="18"/>
              </w:rPr>
              <w:t>否</w:t>
            </w:r>
          </w:p>
        </w:tc>
        <w:tc>
          <w:tcPr>
            <w:tcW w:type="dxa" w:w="2873"/>
            <w:vAlign w:val="top"/>
          </w:tcPr>
          <w:p>
            <w:pPr>
              <w:spacing w:line="276" w:lineRule="auto" w:after="0"/>
            </w:pPr>
            <w:r>
              <w:rPr>
                <w:rFonts w:ascii="仿宋" w:hAnsi="仿宋" w:eastAsia="仿宋"/>
                <w:b w:val="0"/>
                <w:sz w:val="18"/>
              </w:rPr>
              <w:t>不应套用“他人代书＋捺印”例外作为主方案</w:t>
            </w:r>
          </w:p>
        </w:tc>
      </w:tr>
      <w:tr>
        <w:tc>
          <w:tcPr>
            <w:tcW w:type="dxa" w:w="2873"/>
            <w:vAlign w:val="top"/>
          </w:tcPr>
          <w:p>
            <w:pPr>
              <w:spacing w:line="276" w:lineRule="auto" w:after="0"/>
            </w:pPr>
            <w:r>
              <w:rPr>
                <w:rFonts w:ascii="仿宋" w:hAnsi="仿宋" w:eastAsia="仿宋"/>
                <w:b w:val="0"/>
                <w:sz w:val="18"/>
              </w:rPr>
              <w:t>无法及时把纸质原件送到法院</w:t>
            </w:r>
          </w:p>
        </w:tc>
        <w:tc>
          <w:tcPr>
            <w:tcW w:type="dxa" w:w="2873"/>
            <w:vAlign w:val="top"/>
          </w:tcPr>
          <w:p>
            <w:pPr>
              <w:spacing w:line="276" w:lineRule="auto" w:after="0"/>
            </w:pPr>
            <w:r>
              <w:rPr>
                <w:rFonts w:ascii="仿宋" w:hAnsi="仿宋" w:eastAsia="仿宋"/>
                <w:b w:val="0"/>
                <w:sz w:val="18"/>
              </w:rPr>
              <w:t>可能是</w:t>
            </w:r>
          </w:p>
        </w:tc>
        <w:tc>
          <w:tcPr>
            <w:tcW w:type="dxa" w:w="2873"/>
            <w:vAlign w:val="top"/>
          </w:tcPr>
          <w:p>
            <w:pPr>
              <w:spacing w:line="276" w:lineRule="auto" w:after="0"/>
            </w:pPr>
            <w:r>
              <w:rPr>
                <w:rFonts w:ascii="仿宋" w:hAnsi="仿宋" w:eastAsia="仿宋"/>
                <w:b w:val="0"/>
                <w:sz w:val="18"/>
              </w:rPr>
              <w:t>可先交扫描件、邮寄凭证并申请后补原件</w:t>
            </w:r>
          </w:p>
        </w:tc>
      </w:tr>
    </w:tbl>
    <w:p>
      <w:pPr>
        <w:spacing w:after="80"/>
      </w:pPr>
    </w:p>
    <w:p>
      <w:pPr>
        <w:spacing w:line="360" w:lineRule="auto" w:before="0" w:after="0"/>
        <w:ind w:firstLine="629"/>
      </w:pPr>
      <w:r>
        <w:rPr>
          <w:rFonts w:ascii="仿宋" w:hAnsi="仿宋" w:eastAsia="仿宋"/>
          <w:b/>
          <w:sz w:val="30"/>
        </w:rPr>
        <w:t>【合理解释结论】</w:t>
      </w:r>
      <w:r>
        <w:rPr>
          <w:rFonts w:ascii="仿宋" w:hAnsi="仿宋" w:eastAsia="仿宋"/>
          <w:b w:val="0"/>
          <w:sz w:val="30"/>
        </w:rPr>
        <w:t>单纯“旅游在外”通常不足以证明无法书面委托。它可以解释为何不能到庭或为何纸质件延迟，但不能替代本人签名。法院如愿意通过视频或电话核验并记录，可以解决真实性和时效问题；是否把该核验当作足以完成授权手续，仍须法院确认。</w:t>
      </w:r>
    </w:p>
    <w:p>
      <w:pPr>
        <w:spacing w:line="312" w:lineRule="auto" w:before="80" w:after="80"/>
        <w:ind w:left="397" w:right="227"/>
        <w:pBdr>
          <w:left w:val="single" w:sz="18" w:space="8" w:color="9E2A2B"/>
        </w:pBdr>
      </w:pPr>
      <w:r>
        <w:rPr>
          <w:rFonts w:ascii="仿宋" w:hAnsi="仿宋" w:eastAsia="仿宋"/>
          <w:b/>
          <w:color w:val="C00000"/>
          <w:sz w:val="24"/>
        </w:rPr>
        <w:t>【批注】事实表述风险：不得写成身体、意识或书写能力障碍；应如实写无法返长、原件传递需要时间。</w:t>
      </w:r>
    </w:p>
    <w:p>
      <w:pPr>
        <w:keepNext/>
        <w:spacing w:line="360" w:lineRule="auto" w:before="200" w:after="80"/>
      </w:pPr>
      <w:r>
        <w:rPr>
          <w:rFonts w:ascii="黑体" w:hAnsi="黑体" w:eastAsia="黑体"/>
          <w:b/>
          <w:sz w:val="32"/>
        </w:rPr>
        <w:t>九、方案A至F比较与推荐顺序</w:t>
      </w:r>
    </w:p>
    <w:tbl>
      <w:tblPr>
        <w:tblStyle w:val="TableGrid"/>
        <w:tblW w:type="auto" w:w="0"/>
        <w:jc w:val="center"/>
        <w:tblLayout w:type="autofit"/>
        <w:tblLook w:firstColumn="1" w:firstRow="1" w:lastColumn="0" w:lastRow="0" w:noHBand="0" w:noVBand="1" w:val="04A0"/>
      </w:tblPr>
      <w:tblGrid>
        <w:gridCol w:w="1436"/>
        <w:gridCol w:w="1436"/>
        <w:gridCol w:w="1436"/>
        <w:gridCol w:w="1436"/>
        <w:gridCol w:w="1436"/>
        <w:gridCol w:w="1436"/>
      </w:tblGrid>
      <w:tr>
        <w:trPr>
          <w:tblHeader w:val="true"/>
        </w:trPr>
        <w:tc>
          <w:tcPr>
            <w:tcW w:type="dxa" w:w="1436"/>
            <w:shd w:fill="E8EDF3"/>
            <w:vAlign w:val="center"/>
          </w:tcPr>
          <w:p>
            <w:pPr>
              <w:spacing w:line="276" w:lineRule="auto"/>
              <w:jc w:val="center"/>
            </w:pPr>
            <w:r>
              <w:rPr>
                <w:rFonts w:ascii="黑体" w:hAnsi="黑体" w:eastAsia="黑体"/>
                <w:b/>
                <w:sz w:val="18"/>
              </w:rPr>
              <w:t>排名</w:t>
            </w:r>
          </w:p>
        </w:tc>
        <w:tc>
          <w:tcPr>
            <w:tcW w:type="dxa" w:w="1436"/>
            <w:shd w:fill="E8EDF3"/>
            <w:vAlign w:val="center"/>
          </w:tcPr>
          <w:p>
            <w:pPr>
              <w:spacing w:line="276" w:lineRule="auto"/>
              <w:jc w:val="center"/>
            </w:pPr>
            <w:r>
              <w:rPr>
                <w:rFonts w:ascii="黑体" w:hAnsi="黑体" w:eastAsia="黑体"/>
                <w:b/>
                <w:sz w:val="18"/>
              </w:rPr>
              <w:t>方案</w:t>
            </w:r>
          </w:p>
        </w:tc>
        <w:tc>
          <w:tcPr>
            <w:tcW w:type="dxa" w:w="1436"/>
            <w:shd w:fill="E8EDF3"/>
            <w:vAlign w:val="center"/>
          </w:tcPr>
          <w:p>
            <w:pPr>
              <w:spacing w:line="276" w:lineRule="auto"/>
              <w:jc w:val="center"/>
            </w:pPr>
            <w:r>
              <w:rPr>
                <w:rFonts w:ascii="黑体" w:hAnsi="黑体" w:eastAsia="黑体"/>
                <w:b/>
                <w:sz w:val="18"/>
              </w:rPr>
              <w:t>合法性</w:t>
            </w:r>
          </w:p>
        </w:tc>
        <w:tc>
          <w:tcPr>
            <w:tcW w:type="dxa" w:w="1436"/>
            <w:shd w:fill="E8EDF3"/>
            <w:vAlign w:val="center"/>
          </w:tcPr>
          <w:p>
            <w:pPr>
              <w:spacing w:line="276" w:lineRule="auto"/>
              <w:jc w:val="center"/>
            </w:pPr>
            <w:r>
              <w:rPr>
                <w:rFonts w:ascii="黑体" w:hAnsi="黑体" w:eastAsia="黑体"/>
                <w:b/>
                <w:sz w:val="18"/>
              </w:rPr>
              <w:t>法院接受可能性</w:t>
            </w:r>
          </w:p>
        </w:tc>
        <w:tc>
          <w:tcPr>
            <w:tcW w:type="dxa" w:w="1436"/>
            <w:shd w:fill="E8EDF3"/>
            <w:vAlign w:val="center"/>
          </w:tcPr>
          <w:p>
            <w:pPr>
              <w:spacing w:line="276" w:lineRule="auto"/>
              <w:jc w:val="center"/>
            </w:pPr>
            <w:r>
              <w:rPr>
                <w:rFonts w:ascii="黑体" w:hAnsi="黑体" w:eastAsia="黑体"/>
                <w:b/>
                <w:sz w:val="18"/>
              </w:rPr>
              <w:t>证据强度</w:t>
            </w:r>
          </w:p>
        </w:tc>
        <w:tc>
          <w:tcPr>
            <w:tcW w:type="dxa" w:w="1436"/>
            <w:shd w:fill="E8EDF3"/>
            <w:vAlign w:val="center"/>
          </w:tcPr>
          <w:p>
            <w:pPr>
              <w:spacing w:line="276" w:lineRule="auto"/>
              <w:jc w:val="center"/>
            </w:pPr>
            <w:r>
              <w:rPr>
                <w:rFonts w:ascii="黑体" w:hAnsi="黑体" w:eastAsia="黑体"/>
                <w:b/>
                <w:sz w:val="18"/>
              </w:rPr>
              <w:t>主要风险</w:t>
            </w:r>
          </w:p>
        </w:tc>
      </w:tr>
      <w:tr>
        <w:tc>
          <w:tcPr>
            <w:tcW w:type="dxa" w:w="1436"/>
            <w:vAlign w:val="top"/>
          </w:tcPr>
          <w:p>
            <w:pPr>
              <w:spacing w:line="276" w:lineRule="auto" w:after="0"/>
            </w:pPr>
            <w:r>
              <w:rPr>
                <w:rFonts w:ascii="仿宋" w:hAnsi="仿宋" w:eastAsia="仿宋"/>
                <w:b w:val="0"/>
                <w:sz w:val="18"/>
              </w:rPr>
              <w:t>1</w:t>
            </w:r>
          </w:p>
        </w:tc>
        <w:tc>
          <w:tcPr>
            <w:tcW w:type="dxa" w:w="1436"/>
            <w:vAlign w:val="top"/>
          </w:tcPr>
          <w:p>
            <w:pPr>
              <w:spacing w:line="276" w:lineRule="auto" w:after="0"/>
            </w:pPr>
            <w:r>
              <w:rPr>
                <w:rFonts w:ascii="仿宋" w:hAnsi="仿宋" w:eastAsia="仿宋"/>
                <w:b/>
                <w:sz w:val="18"/>
              </w:rPr>
              <w:t>C：黄敏在旅游地打印并亲签；先传扫描件/照片，同时邮寄纸质原件</w:t>
            </w:r>
          </w:p>
        </w:tc>
        <w:tc>
          <w:tcPr>
            <w:tcW w:type="dxa" w:w="1436"/>
            <w:vAlign w:val="top"/>
          </w:tcPr>
          <w:p>
            <w:pPr>
              <w:spacing w:line="276" w:lineRule="auto" w:after="0"/>
            </w:pPr>
            <w:r>
              <w:rPr>
                <w:rFonts w:ascii="仿宋" w:hAnsi="仿宋" w:eastAsia="仿宋"/>
                <w:b w:val="0"/>
                <w:sz w:val="18"/>
              </w:rPr>
              <w:t>高</w:t>
            </w:r>
          </w:p>
        </w:tc>
        <w:tc>
          <w:tcPr>
            <w:tcW w:type="dxa" w:w="1436"/>
            <w:vAlign w:val="top"/>
          </w:tcPr>
          <w:p>
            <w:pPr>
              <w:spacing w:line="276" w:lineRule="auto" w:after="0"/>
            </w:pPr>
            <w:r>
              <w:rPr>
                <w:rFonts w:ascii="仿宋" w:hAnsi="仿宋" w:eastAsia="仿宋"/>
                <w:b w:val="0"/>
                <w:sz w:val="18"/>
              </w:rPr>
              <w:t>高</w:t>
            </w:r>
          </w:p>
        </w:tc>
        <w:tc>
          <w:tcPr>
            <w:tcW w:type="dxa" w:w="1436"/>
            <w:vAlign w:val="top"/>
          </w:tcPr>
          <w:p>
            <w:pPr>
              <w:spacing w:line="276" w:lineRule="auto" w:after="0"/>
            </w:pPr>
            <w:r>
              <w:rPr>
                <w:rFonts w:ascii="仿宋" w:hAnsi="仿宋" w:eastAsia="仿宋"/>
                <w:b w:val="0"/>
                <w:sz w:val="18"/>
              </w:rPr>
              <w:t>高</w:t>
            </w:r>
          </w:p>
        </w:tc>
        <w:tc>
          <w:tcPr>
            <w:tcW w:type="dxa" w:w="1436"/>
            <w:vAlign w:val="top"/>
          </w:tcPr>
          <w:p>
            <w:pPr>
              <w:spacing w:line="276" w:lineRule="auto" w:after="0"/>
            </w:pPr>
            <w:r>
              <w:rPr>
                <w:rFonts w:ascii="仿宋" w:hAnsi="仿宋" w:eastAsia="仿宋"/>
                <w:b w:val="0"/>
                <w:sz w:val="18"/>
              </w:rPr>
              <w:t>扫描必须清晰完整；应保留快递底单和物流；法院仍可能要求开庭前见原件</w:t>
            </w:r>
          </w:p>
        </w:tc>
      </w:tr>
      <w:tr>
        <w:tc>
          <w:tcPr>
            <w:tcW w:type="dxa" w:w="1436"/>
            <w:vAlign w:val="top"/>
          </w:tcPr>
          <w:p>
            <w:pPr>
              <w:spacing w:line="276" w:lineRule="auto" w:after="0"/>
            </w:pPr>
            <w:r>
              <w:rPr>
                <w:rFonts w:ascii="仿宋" w:hAnsi="仿宋" w:eastAsia="仿宋"/>
                <w:b w:val="0"/>
                <w:sz w:val="18"/>
              </w:rPr>
              <w:t>2</w:t>
            </w:r>
          </w:p>
        </w:tc>
        <w:tc>
          <w:tcPr>
            <w:tcW w:type="dxa" w:w="1436"/>
            <w:vAlign w:val="top"/>
          </w:tcPr>
          <w:p>
            <w:pPr>
              <w:spacing w:line="276" w:lineRule="auto" w:after="0"/>
            </w:pPr>
            <w:r>
              <w:rPr>
                <w:rFonts w:ascii="仿宋" w:hAnsi="仿宋" w:eastAsia="仿宋"/>
                <w:b/>
                <w:sz w:val="18"/>
              </w:rPr>
              <w:t>D：可靠电子签名或人民法院在线服务平台完成授权</w:t>
            </w:r>
          </w:p>
        </w:tc>
        <w:tc>
          <w:tcPr>
            <w:tcW w:type="dxa" w:w="1436"/>
            <w:vAlign w:val="top"/>
          </w:tcPr>
          <w:p>
            <w:pPr>
              <w:spacing w:line="276" w:lineRule="auto" w:after="0"/>
            </w:pPr>
            <w:r>
              <w:rPr>
                <w:rFonts w:ascii="仿宋" w:hAnsi="仿宋" w:eastAsia="仿宋"/>
                <w:b w:val="0"/>
                <w:sz w:val="18"/>
              </w:rPr>
              <w:t>高，前提是满足可靠电子签名和平台认证要求</w:t>
            </w:r>
          </w:p>
        </w:tc>
        <w:tc>
          <w:tcPr>
            <w:tcW w:type="dxa" w:w="1436"/>
            <w:vAlign w:val="top"/>
          </w:tcPr>
          <w:p>
            <w:pPr>
              <w:spacing w:line="276" w:lineRule="auto" w:after="0"/>
            </w:pPr>
            <w:r>
              <w:rPr>
                <w:rFonts w:ascii="仿宋" w:hAnsi="仿宋" w:eastAsia="仿宋"/>
                <w:b w:val="0"/>
                <w:sz w:val="18"/>
              </w:rPr>
              <w:t>较高，取决于长沙中院平台是否支持</w:t>
            </w:r>
          </w:p>
        </w:tc>
        <w:tc>
          <w:tcPr>
            <w:tcW w:type="dxa" w:w="1436"/>
            <w:vAlign w:val="top"/>
          </w:tcPr>
          <w:p>
            <w:pPr>
              <w:spacing w:line="276" w:lineRule="auto" w:after="0"/>
            </w:pPr>
            <w:r>
              <w:rPr>
                <w:rFonts w:ascii="仿宋" w:hAnsi="仿宋" w:eastAsia="仿宋"/>
                <w:b w:val="0"/>
                <w:sz w:val="18"/>
              </w:rPr>
              <w:t>高</w:t>
            </w:r>
          </w:p>
        </w:tc>
        <w:tc>
          <w:tcPr>
            <w:tcW w:type="dxa" w:w="1436"/>
            <w:vAlign w:val="top"/>
          </w:tcPr>
          <w:p>
            <w:pPr>
              <w:spacing w:line="276" w:lineRule="auto" w:after="0"/>
            </w:pPr>
            <w:r>
              <w:rPr>
                <w:rFonts w:ascii="仿宋" w:hAnsi="仿宋" w:eastAsia="仿宋"/>
                <w:b w:val="0"/>
                <w:sz w:val="18"/>
              </w:rPr>
              <w:t>普通签名图片、手写板截图或Word中打字不是当然的可靠电子签名</w:t>
            </w:r>
          </w:p>
        </w:tc>
      </w:tr>
      <w:tr>
        <w:tc>
          <w:tcPr>
            <w:tcW w:type="dxa" w:w="1436"/>
            <w:vAlign w:val="top"/>
          </w:tcPr>
          <w:p>
            <w:pPr>
              <w:spacing w:line="276" w:lineRule="auto" w:after="0"/>
            </w:pPr>
            <w:r>
              <w:rPr>
                <w:rFonts w:ascii="仿宋" w:hAnsi="仿宋" w:eastAsia="仿宋"/>
                <w:b w:val="0"/>
                <w:sz w:val="18"/>
              </w:rPr>
              <w:t>3</w:t>
            </w:r>
          </w:p>
        </w:tc>
        <w:tc>
          <w:tcPr>
            <w:tcW w:type="dxa" w:w="1436"/>
            <w:vAlign w:val="top"/>
          </w:tcPr>
          <w:p>
            <w:pPr>
              <w:spacing w:line="276" w:lineRule="auto" w:after="0"/>
            </w:pPr>
            <w:r>
              <w:rPr>
                <w:rFonts w:ascii="仿宋" w:hAnsi="仿宋" w:eastAsia="仿宋"/>
                <w:b/>
                <w:sz w:val="18"/>
              </w:rPr>
              <w:t>E：申请法院电话、视频或在线平台核实黄敏本人，并记录在卷</w:t>
            </w:r>
          </w:p>
        </w:tc>
        <w:tc>
          <w:tcPr>
            <w:tcW w:type="dxa" w:w="1436"/>
            <w:vAlign w:val="top"/>
          </w:tcPr>
          <w:p>
            <w:pPr>
              <w:spacing w:line="276" w:lineRule="auto" w:after="0"/>
            </w:pPr>
            <w:r>
              <w:rPr>
                <w:rFonts w:ascii="仿宋" w:hAnsi="仿宋" w:eastAsia="仿宋"/>
                <w:b w:val="0"/>
                <w:sz w:val="18"/>
              </w:rPr>
              <w:t>作为核验方式合法；作为纸质授权的完全替代需法院确认</w:t>
            </w:r>
          </w:p>
        </w:tc>
        <w:tc>
          <w:tcPr>
            <w:tcW w:type="dxa" w:w="1436"/>
            <w:vAlign w:val="top"/>
          </w:tcPr>
          <w:p>
            <w:pPr>
              <w:spacing w:line="276" w:lineRule="auto" w:after="0"/>
            </w:pPr>
            <w:r>
              <w:rPr>
                <w:rFonts w:ascii="仿宋" w:hAnsi="仿宋" w:eastAsia="仿宋"/>
                <w:b w:val="0"/>
                <w:sz w:val="18"/>
              </w:rPr>
              <w:t>法院主动主持时较高</w:t>
            </w:r>
          </w:p>
        </w:tc>
        <w:tc>
          <w:tcPr>
            <w:tcW w:type="dxa" w:w="1436"/>
            <w:vAlign w:val="top"/>
          </w:tcPr>
          <w:p>
            <w:pPr>
              <w:spacing w:line="276" w:lineRule="auto" w:after="0"/>
            </w:pPr>
            <w:r>
              <w:rPr>
                <w:rFonts w:ascii="仿宋" w:hAnsi="仿宋" w:eastAsia="仿宋"/>
                <w:b w:val="0"/>
                <w:sz w:val="18"/>
              </w:rPr>
              <w:t>较高</w:t>
            </w:r>
          </w:p>
        </w:tc>
        <w:tc>
          <w:tcPr>
            <w:tcW w:type="dxa" w:w="1436"/>
            <w:vAlign w:val="top"/>
          </w:tcPr>
          <w:p>
            <w:pPr>
              <w:spacing w:line="276" w:lineRule="auto" w:after="0"/>
            </w:pPr>
            <w:r>
              <w:rPr>
                <w:rFonts w:ascii="仿宋" w:hAnsi="仿宋" w:eastAsia="仿宋"/>
                <w:b w:val="0"/>
                <w:sz w:val="18"/>
              </w:rPr>
              <w:t>自行录视频与法院主持核验强度不同；旅游不当然构成无法书面委托</w:t>
            </w:r>
          </w:p>
        </w:tc>
      </w:tr>
      <w:tr>
        <w:tc>
          <w:tcPr>
            <w:tcW w:type="dxa" w:w="1436"/>
            <w:vAlign w:val="top"/>
          </w:tcPr>
          <w:p>
            <w:pPr>
              <w:spacing w:line="276" w:lineRule="auto" w:after="0"/>
            </w:pPr>
            <w:r>
              <w:rPr>
                <w:rFonts w:ascii="仿宋" w:hAnsi="仿宋" w:eastAsia="仿宋"/>
                <w:b w:val="0"/>
                <w:sz w:val="18"/>
              </w:rPr>
              <w:t>4</w:t>
            </w:r>
          </w:p>
        </w:tc>
        <w:tc>
          <w:tcPr>
            <w:tcW w:type="dxa" w:w="1436"/>
            <w:vAlign w:val="top"/>
          </w:tcPr>
          <w:p>
            <w:pPr>
              <w:spacing w:line="276" w:lineRule="auto" w:after="0"/>
            </w:pPr>
            <w:r>
              <w:rPr>
                <w:rFonts w:ascii="仿宋" w:hAnsi="仿宋" w:eastAsia="仿宋"/>
                <w:b/>
                <w:sz w:val="18"/>
              </w:rPr>
              <w:t>B：只交一审旧授权原件/复印件＋《继续有效情况说明暨核实申请》</w:t>
            </w:r>
          </w:p>
        </w:tc>
        <w:tc>
          <w:tcPr>
            <w:tcW w:type="dxa" w:w="1436"/>
            <w:vAlign w:val="top"/>
          </w:tcPr>
          <w:p>
            <w:pPr>
              <w:spacing w:line="276" w:lineRule="auto" w:after="0"/>
            </w:pPr>
            <w:r>
              <w:rPr>
                <w:rFonts w:ascii="仿宋" w:hAnsi="仿宋" w:eastAsia="仿宋"/>
                <w:b w:val="0"/>
                <w:sz w:val="18"/>
              </w:rPr>
              <w:t>可以主张，合法</w:t>
            </w:r>
          </w:p>
        </w:tc>
        <w:tc>
          <w:tcPr>
            <w:tcW w:type="dxa" w:w="1436"/>
            <w:vAlign w:val="top"/>
          </w:tcPr>
          <w:p>
            <w:pPr>
              <w:spacing w:line="276" w:lineRule="auto" w:after="0"/>
            </w:pPr>
            <w:r>
              <w:rPr>
                <w:rFonts w:ascii="仿宋" w:hAnsi="仿宋" w:eastAsia="仿宋"/>
                <w:b w:val="0"/>
                <w:sz w:val="18"/>
              </w:rPr>
              <w:t>中等至较高</w:t>
            </w:r>
          </w:p>
        </w:tc>
        <w:tc>
          <w:tcPr>
            <w:tcW w:type="dxa" w:w="1436"/>
            <w:vAlign w:val="top"/>
          </w:tcPr>
          <w:p>
            <w:pPr>
              <w:spacing w:line="276" w:lineRule="auto" w:after="0"/>
            </w:pPr>
            <w:r>
              <w:rPr>
                <w:rFonts w:ascii="仿宋" w:hAnsi="仿宋" w:eastAsia="仿宋"/>
                <w:b w:val="0"/>
                <w:sz w:val="18"/>
              </w:rPr>
              <w:t>中等至较高</w:t>
            </w:r>
          </w:p>
        </w:tc>
        <w:tc>
          <w:tcPr>
            <w:tcW w:type="dxa" w:w="1436"/>
            <w:vAlign w:val="top"/>
          </w:tcPr>
          <w:p>
            <w:pPr>
              <w:spacing w:line="276" w:lineRule="auto" w:after="0"/>
            </w:pPr>
            <w:r>
              <w:rPr>
                <w:rFonts w:ascii="仿宋" w:hAnsi="仿宋" w:eastAsia="仿宋"/>
                <w:b w:val="0"/>
                <w:sz w:val="18"/>
              </w:rPr>
              <w:t>旧授权是否覆盖全二审存在解释争议；必须核对一审卷内签署原件和两名代理人</w:t>
            </w:r>
          </w:p>
        </w:tc>
      </w:tr>
      <w:tr>
        <w:tc>
          <w:tcPr>
            <w:tcW w:type="dxa" w:w="1436"/>
            <w:vAlign w:val="top"/>
          </w:tcPr>
          <w:p>
            <w:pPr>
              <w:spacing w:line="276" w:lineRule="auto" w:after="0"/>
            </w:pPr>
            <w:r>
              <w:rPr>
                <w:rFonts w:ascii="仿宋" w:hAnsi="仿宋" w:eastAsia="仿宋"/>
                <w:b w:val="0"/>
                <w:sz w:val="18"/>
              </w:rPr>
              <w:t>5</w:t>
            </w:r>
          </w:p>
        </w:tc>
        <w:tc>
          <w:tcPr>
            <w:tcW w:type="dxa" w:w="1436"/>
            <w:vAlign w:val="top"/>
          </w:tcPr>
          <w:p>
            <w:pPr>
              <w:spacing w:line="276" w:lineRule="auto" w:after="0"/>
            </w:pPr>
            <w:r>
              <w:rPr>
                <w:rFonts w:ascii="仿宋" w:hAnsi="仿宋" w:eastAsia="仿宋"/>
                <w:b/>
                <w:sz w:val="18"/>
              </w:rPr>
              <w:t>F：只用微信发送完整授权文字并回复确认，不签纸质件</w:t>
            </w:r>
          </w:p>
        </w:tc>
        <w:tc>
          <w:tcPr>
            <w:tcW w:type="dxa" w:w="1436"/>
            <w:vAlign w:val="top"/>
          </w:tcPr>
          <w:p>
            <w:pPr>
              <w:spacing w:line="276" w:lineRule="auto" w:after="0"/>
            </w:pPr>
            <w:r>
              <w:rPr>
                <w:rFonts w:ascii="仿宋" w:hAnsi="仿宋" w:eastAsia="仿宋"/>
                <w:b w:val="0"/>
                <w:sz w:val="18"/>
              </w:rPr>
              <w:t>可作为电子数据证明意思，但形式上未必满足授权书要求</w:t>
            </w:r>
          </w:p>
        </w:tc>
        <w:tc>
          <w:tcPr>
            <w:tcW w:type="dxa" w:w="1436"/>
            <w:vAlign w:val="top"/>
          </w:tcPr>
          <w:p>
            <w:pPr>
              <w:spacing w:line="276" w:lineRule="auto" w:after="0"/>
            </w:pPr>
            <w:r>
              <w:rPr>
                <w:rFonts w:ascii="仿宋" w:hAnsi="仿宋" w:eastAsia="仿宋"/>
                <w:b w:val="0"/>
                <w:sz w:val="18"/>
              </w:rPr>
              <w:t>较低至中等</w:t>
            </w:r>
          </w:p>
        </w:tc>
        <w:tc>
          <w:tcPr>
            <w:tcW w:type="dxa" w:w="1436"/>
            <w:vAlign w:val="top"/>
          </w:tcPr>
          <w:p>
            <w:pPr>
              <w:spacing w:line="276" w:lineRule="auto" w:after="0"/>
            </w:pPr>
            <w:r>
              <w:rPr>
                <w:rFonts w:ascii="仿宋" w:hAnsi="仿宋" w:eastAsia="仿宋"/>
                <w:b w:val="0"/>
                <w:sz w:val="18"/>
              </w:rPr>
              <w:t>中等，作为辅助；单独使用偏弱</w:t>
            </w:r>
          </w:p>
        </w:tc>
        <w:tc>
          <w:tcPr>
            <w:tcW w:type="dxa" w:w="1436"/>
            <w:vAlign w:val="top"/>
          </w:tcPr>
          <w:p>
            <w:pPr>
              <w:spacing w:line="276" w:lineRule="auto" w:after="0"/>
            </w:pPr>
            <w:r>
              <w:rPr>
                <w:rFonts w:ascii="仿宋" w:hAnsi="仿宋" w:eastAsia="仿宋"/>
                <w:b w:val="0"/>
                <w:sz w:val="18"/>
              </w:rPr>
              <w:t>账号身份、上下文、完整性和“签名/盖章”形式均可能被质疑</w:t>
            </w:r>
          </w:p>
        </w:tc>
      </w:tr>
      <w:tr>
        <w:tc>
          <w:tcPr>
            <w:tcW w:type="dxa" w:w="1436"/>
            <w:vAlign w:val="top"/>
          </w:tcPr>
          <w:p>
            <w:pPr>
              <w:spacing w:line="276" w:lineRule="auto" w:after="0"/>
            </w:pPr>
            <w:r>
              <w:rPr>
                <w:rFonts w:ascii="仿宋" w:hAnsi="仿宋" w:eastAsia="仿宋"/>
                <w:b w:val="0"/>
                <w:sz w:val="18"/>
              </w:rPr>
              <w:t>6</w:t>
            </w:r>
          </w:p>
        </w:tc>
        <w:tc>
          <w:tcPr>
            <w:tcW w:type="dxa" w:w="1436"/>
            <w:vAlign w:val="top"/>
          </w:tcPr>
          <w:p>
            <w:pPr>
              <w:spacing w:line="276" w:lineRule="auto" w:after="0"/>
            </w:pPr>
            <w:r>
              <w:rPr>
                <w:rFonts w:ascii="仿宋" w:hAnsi="仿宋" w:eastAsia="仿宋"/>
                <w:b/>
                <w:sz w:val="18"/>
              </w:rPr>
              <w:t>A：原代理人代黄敏签新的二审授权书，再附情况说明</w:t>
            </w:r>
          </w:p>
        </w:tc>
        <w:tc>
          <w:tcPr>
            <w:tcW w:type="dxa" w:w="1436"/>
            <w:vAlign w:val="top"/>
          </w:tcPr>
          <w:p>
            <w:pPr>
              <w:spacing w:line="276" w:lineRule="auto" w:after="0"/>
            </w:pPr>
            <w:r>
              <w:rPr>
                <w:rFonts w:ascii="仿宋" w:hAnsi="仿宋" w:eastAsia="仿宋"/>
                <w:b w:val="0"/>
                <w:sz w:val="18"/>
              </w:rPr>
              <w:t>原授权无代签权限时属于无权代签</w:t>
            </w:r>
          </w:p>
        </w:tc>
        <w:tc>
          <w:tcPr>
            <w:tcW w:type="dxa" w:w="1436"/>
            <w:vAlign w:val="top"/>
          </w:tcPr>
          <w:p>
            <w:pPr>
              <w:spacing w:line="276" w:lineRule="auto" w:after="0"/>
            </w:pPr>
            <w:r>
              <w:rPr>
                <w:rFonts w:ascii="仿宋" w:hAnsi="仿宋" w:eastAsia="仿宋"/>
                <w:b w:val="0"/>
                <w:sz w:val="18"/>
              </w:rPr>
              <w:t>低</w:t>
            </w:r>
          </w:p>
        </w:tc>
        <w:tc>
          <w:tcPr>
            <w:tcW w:type="dxa" w:w="1436"/>
            <w:vAlign w:val="top"/>
          </w:tcPr>
          <w:p>
            <w:pPr>
              <w:spacing w:line="276" w:lineRule="auto" w:after="0"/>
            </w:pPr>
            <w:r>
              <w:rPr>
                <w:rFonts w:ascii="仿宋" w:hAnsi="仿宋" w:eastAsia="仿宋"/>
                <w:b w:val="0"/>
                <w:sz w:val="18"/>
              </w:rPr>
              <w:t>低</w:t>
            </w:r>
          </w:p>
        </w:tc>
        <w:tc>
          <w:tcPr>
            <w:tcW w:type="dxa" w:w="1436"/>
            <w:vAlign w:val="top"/>
          </w:tcPr>
          <w:p>
            <w:pPr>
              <w:spacing w:line="276" w:lineRule="auto" w:after="0"/>
            </w:pPr>
            <w:r>
              <w:rPr>
                <w:rFonts w:ascii="仿宋" w:hAnsi="仿宋" w:eastAsia="仿宋"/>
                <w:b w:val="0"/>
                <w:sz w:val="18"/>
              </w:rPr>
              <w:t>自我创设或扩大代理权；若模仿签名，另生虚假材料风险</w:t>
            </w:r>
          </w:p>
        </w:tc>
      </w:tr>
    </w:tbl>
    <w:p>
      <w:pPr>
        <w:spacing w:after="80"/>
      </w:pPr>
    </w:p>
    <w:p>
      <w:pPr>
        <w:keepNext/>
        <w:spacing w:line="360" w:lineRule="auto" w:before="140" w:after="0"/>
      </w:pPr>
      <w:r>
        <w:rPr>
          <w:rFonts w:ascii="黑体" w:hAnsi="黑体" w:eastAsia="黑体"/>
          <w:b/>
          <w:sz w:val="30"/>
        </w:rPr>
        <w:t>推荐组合，而不是单押一个方案</w:t>
      </w:r>
    </w:p>
    <w:p>
      <w:pPr>
        <w:spacing w:line="360" w:lineRule="auto" w:before="0" w:after="0"/>
        <w:ind w:firstLine="629"/>
      </w:pPr>
      <w:r>
        <w:rPr>
          <w:rFonts w:ascii="仿宋" w:hAnsi="仿宋" w:eastAsia="仿宋"/>
          <w:b w:val="0"/>
          <w:sz w:val="30"/>
        </w:rPr>
        <w:t>实际最优做法是</w:t>
      </w:r>
      <w:r>
        <w:rPr>
          <w:rFonts w:ascii="仿宋" w:hAnsi="仿宋" w:eastAsia="仿宋"/>
          <w:b/>
          <w:sz w:val="30"/>
        </w:rPr>
        <w:t>C＋B＋E</w:t>
      </w:r>
      <w:r>
        <w:rPr>
          <w:rFonts w:ascii="仿宋" w:hAnsi="仿宋" w:eastAsia="仿宋"/>
          <w:b w:val="0"/>
          <w:sz w:val="30"/>
        </w:rPr>
        <w:t>：</w:t>
      </w:r>
    </w:p>
    <w:p>
      <w:pPr>
        <w:spacing w:line="312" w:lineRule="auto" w:before="80" w:after="80"/>
        <w:ind w:left="397" w:right="227"/>
        <w:pBdr>
          <w:left w:val="single" w:sz="18" w:space="8" w:color="9E2A2B"/>
        </w:pBdr>
      </w:pPr>
      <w:r>
        <w:rPr>
          <w:rFonts w:ascii="仿宋" w:hAnsi="仿宋" w:eastAsia="仿宋"/>
          <w:b/>
          <w:color w:val="C00000"/>
          <w:sz w:val="24"/>
        </w:rPr>
        <w:t>【批注】操作结论：建议同一天完成旧授权说明、黄敏亲签扫描、加急邮寄和书记员核验四个动作，不要只押旧授权延续解释。</w:t>
      </w:r>
    </w:p>
    <w:p>
      <w:pPr>
        <w:spacing w:line="360" w:lineRule="auto" w:before="0" w:after="0"/>
        <w:ind w:hanging="340" w:left="680"/>
      </w:pPr>
      <w:r>
        <w:rPr>
          <w:rFonts w:ascii="仿宋" w:hAnsi="仿宋" w:eastAsia="仿宋"/>
          <w:b w:val="0"/>
          <w:sz w:val="30"/>
        </w:rPr>
        <w:t>1. 立即原样提交旧授权及代理权限核实申请；</w:t>
      </w:r>
    </w:p>
    <w:p>
      <w:pPr>
        <w:spacing w:line="360" w:lineRule="auto" w:before="0" w:after="0"/>
        <w:ind w:hanging="340" w:left="680"/>
      </w:pPr>
      <w:r>
        <w:rPr>
          <w:rFonts w:ascii="仿宋" w:hAnsi="仿宋" w:eastAsia="仿宋"/>
          <w:b w:val="0"/>
          <w:sz w:val="30"/>
        </w:rPr>
        <w:t>2. 同日让黄敏在旅游地亲笔签署新授权，拍照或扫描；</w:t>
      </w:r>
    </w:p>
    <w:p>
      <w:pPr>
        <w:spacing w:line="360" w:lineRule="auto" w:before="0" w:after="0"/>
        <w:ind w:hanging="340" w:left="680"/>
      </w:pPr>
      <w:r>
        <w:rPr>
          <w:rFonts w:ascii="仿宋" w:hAnsi="仿宋" w:eastAsia="仿宋"/>
          <w:b w:val="0"/>
          <w:sz w:val="30"/>
        </w:rPr>
        <w:t>3. 同日寄出原件，提交快递单和物流截图；</w:t>
      </w:r>
    </w:p>
    <w:p>
      <w:pPr>
        <w:spacing w:line="360" w:lineRule="auto" w:before="0" w:after="0"/>
        <w:ind w:hanging="340" w:left="680"/>
      </w:pPr>
      <w:r>
        <w:rPr>
          <w:rFonts w:ascii="仿宋" w:hAnsi="仿宋" w:eastAsia="仿宋"/>
          <w:b w:val="0"/>
          <w:sz w:val="30"/>
        </w:rPr>
        <w:t>4. 同时请求书记员电话/视频核验；</w:t>
      </w:r>
    </w:p>
    <w:p>
      <w:pPr>
        <w:spacing w:line="360" w:lineRule="auto" w:before="0" w:after="0"/>
        <w:ind w:hanging="340" w:left="680"/>
      </w:pPr>
      <w:r>
        <w:rPr>
          <w:rFonts w:ascii="仿宋" w:hAnsi="仿宋" w:eastAsia="仿宋"/>
          <w:b w:val="0"/>
          <w:sz w:val="30"/>
        </w:rPr>
        <w:t>5. 若法院支持人民法院在线服务的实名认证授权，再以D增强。</w:t>
      </w:r>
    </w:p>
    <w:p>
      <w:pPr>
        <w:keepNext/>
        <w:spacing w:line="360" w:lineRule="auto" w:before="200" w:after="80"/>
      </w:pPr>
      <w:r>
        <w:rPr>
          <w:rFonts w:ascii="黑体" w:hAnsi="黑体" w:eastAsia="黑体"/>
          <w:b/>
          <w:sz w:val="32"/>
        </w:rPr>
        <w:t>十、不同远程方式的逐项评价</w:t>
      </w:r>
    </w:p>
    <w:p>
      <w:pPr>
        <w:keepNext/>
        <w:spacing w:line="360" w:lineRule="auto" w:before="140" w:after="0"/>
      </w:pPr>
      <w:r>
        <w:rPr>
          <w:rFonts w:ascii="黑体" w:hAnsi="黑体" w:eastAsia="黑体"/>
          <w:b/>
          <w:sz w:val="30"/>
        </w:rPr>
        <w:t>1. 异地打印、亲笔签名、扫描后先交</w:t>
      </w:r>
    </w:p>
    <w:p>
      <w:pPr>
        <w:spacing w:line="360" w:lineRule="auto" w:before="0" w:after="0"/>
        <w:ind w:firstLine="629"/>
      </w:pPr>
      <w:r>
        <w:rPr>
          <w:rFonts w:ascii="仿宋" w:hAnsi="仿宋" w:eastAsia="仿宋"/>
          <w:b/>
          <w:sz w:val="30"/>
        </w:rPr>
        <w:t>法律效力：高。</w:t>
      </w:r>
      <w:r>
        <w:rPr>
          <w:rFonts w:ascii="仿宋" w:hAnsi="仿宋" w:eastAsia="仿宋"/>
          <w:b w:val="0"/>
          <w:sz w:val="30"/>
        </w:rPr>
        <w:t>黄敏在纸质授权书上亲笔签名，符合“委托人签名”的核心要求。扫描件是纸质原件的电子化材料。</w:t>
      </w:r>
    </w:p>
    <w:p>
      <w:pPr>
        <w:spacing w:line="360" w:lineRule="auto" w:before="0" w:after="0"/>
        <w:ind w:firstLine="629"/>
      </w:pPr>
      <w:r>
        <w:rPr>
          <w:rFonts w:ascii="仿宋" w:hAnsi="仿宋" w:eastAsia="仿宋"/>
          <w:b/>
          <w:sz w:val="30"/>
        </w:rPr>
        <w:t>操作：</w:t>
      </w:r>
      <w:r>
        <w:rPr>
          <w:rFonts w:ascii="仿宋" w:hAnsi="仿宋" w:eastAsia="仿宋"/>
          <w:b w:val="0"/>
          <w:sz w:val="30"/>
        </w:rPr>
        <w:t>每页拍摄完整，四角可见，文字清晰；最后一页签名和日期不得裁切；最好合成一个PDF；同时拍摄短视频展示签署人、完整文件和当日日期。</w:t>
      </w:r>
    </w:p>
    <w:p>
      <w:pPr>
        <w:keepNext/>
        <w:spacing w:line="360" w:lineRule="auto" w:before="140" w:after="0"/>
      </w:pPr>
      <w:r>
        <w:rPr>
          <w:rFonts w:ascii="黑体" w:hAnsi="黑体" w:eastAsia="黑体"/>
          <w:b/>
          <w:sz w:val="30"/>
        </w:rPr>
        <w:t>2. EMS或顺丰邮寄原件</w:t>
      </w:r>
    </w:p>
    <w:p>
      <w:pPr>
        <w:spacing w:line="360" w:lineRule="auto" w:before="0" w:after="0"/>
        <w:ind w:firstLine="629"/>
      </w:pPr>
      <w:r>
        <w:rPr>
          <w:rFonts w:ascii="仿宋" w:hAnsi="仿宋" w:eastAsia="仿宋"/>
          <w:b/>
          <w:sz w:val="30"/>
        </w:rPr>
        <w:t>证据强度：高。</w:t>
      </w:r>
      <w:r>
        <w:rPr>
          <w:rFonts w:ascii="仿宋" w:hAnsi="仿宋" w:eastAsia="仿宋"/>
          <w:b w:val="0"/>
          <w:sz w:val="30"/>
        </w:rPr>
        <w:t>国内异地签署不需要公证认证。寄给代理人或法院均可，但应先与书记员确认收件人、地址、案号写法和是否需要在信封标注“开庭授权材料”。</w:t>
      </w:r>
    </w:p>
    <w:p>
      <w:pPr>
        <w:keepNext/>
        <w:spacing w:line="360" w:lineRule="auto" w:before="140" w:after="0"/>
      </w:pPr>
      <w:r>
        <w:rPr>
          <w:rFonts w:ascii="黑体" w:hAnsi="黑体" w:eastAsia="黑体"/>
          <w:b/>
          <w:sz w:val="30"/>
        </w:rPr>
        <w:t>3. 可靠电子签名</w:t>
      </w:r>
    </w:p>
    <w:p>
      <w:pPr>
        <w:spacing w:line="360" w:lineRule="auto" w:before="0" w:after="0"/>
        <w:ind w:firstLine="629"/>
      </w:pPr>
      <w:r>
        <w:rPr>
          <w:rFonts w:ascii="仿宋" w:hAnsi="仿宋" w:eastAsia="仿宋"/>
          <w:b/>
          <w:sz w:val="30"/>
        </w:rPr>
        <w:t>法律效力：高，条件严格。</w:t>
      </w:r>
      <w:r>
        <w:rPr>
          <w:rFonts w:ascii="仿宋" w:hAnsi="仿宋" w:eastAsia="仿宋"/>
          <w:b w:val="0"/>
          <w:sz w:val="30"/>
        </w:rPr>
        <w:t>需要能够识别黄敏、证明签署数据由其控制并能发现文件和签名的事后改动。把手写签名图片粘贴到Word/PDF，不当然满足可靠电子签名四项条件。</w:t>
      </w:r>
    </w:p>
    <w:p>
      <w:pPr>
        <w:keepNext/>
        <w:spacing w:line="360" w:lineRule="auto" w:before="140" w:after="0"/>
      </w:pPr>
      <w:r>
        <w:rPr>
          <w:rFonts w:ascii="黑体" w:hAnsi="黑体" w:eastAsia="黑体"/>
          <w:b/>
          <w:sz w:val="30"/>
        </w:rPr>
        <w:t>4. 人民法院在线服务平台提交</w:t>
      </w:r>
    </w:p>
    <w:p>
      <w:pPr>
        <w:spacing w:line="360" w:lineRule="auto" w:before="0" w:after="0"/>
        <w:ind w:firstLine="629"/>
      </w:pPr>
      <w:r>
        <w:rPr>
          <w:rFonts w:ascii="仿宋" w:hAnsi="仿宋" w:eastAsia="仿宋"/>
          <w:b/>
          <w:sz w:val="30"/>
        </w:rPr>
        <w:t>接受可能性：较高。</w:t>
      </w:r>
      <w:r>
        <w:rPr>
          <w:rFonts w:ascii="仿宋" w:hAnsi="仿宋" w:eastAsia="仿宋"/>
          <w:b w:val="0"/>
          <w:sz w:val="30"/>
        </w:rPr>
        <w:t>实名认证账号的行为原则上视为本人行为；但授权功能是否开放、是否需要代理人关联确认、法院是否要求补纸质件，由平台和承办法官决定。</w:t>
      </w:r>
    </w:p>
    <w:p>
      <w:pPr>
        <w:keepNext/>
        <w:spacing w:line="360" w:lineRule="auto" w:before="140" w:after="0"/>
      </w:pPr>
      <w:r>
        <w:rPr>
          <w:rFonts w:ascii="黑体" w:hAnsi="黑体" w:eastAsia="黑体"/>
          <w:b/>
          <w:sz w:val="30"/>
        </w:rPr>
        <w:t>5. 法院主持电话或视频核验</w:t>
      </w:r>
    </w:p>
    <w:p>
      <w:pPr>
        <w:spacing w:line="360" w:lineRule="auto" w:before="0" w:after="0"/>
        <w:ind w:firstLine="629"/>
      </w:pPr>
      <w:r>
        <w:rPr>
          <w:rFonts w:ascii="仿宋" w:hAnsi="仿宋" w:eastAsia="仿宋"/>
          <w:b/>
          <w:sz w:val="30"/>
        </w:rPr>
        <w:t>证据强度：较高。</w:t>
      </w:r>
      <w:r>
        <w:rPr>
          <w:rFonts w:ascii="仿宋" w:hAnsi="仿宋" w:eastAsia="仿宋"/>
          <w:b w:val="0"/>
          <w:sz w:val="30"/>
        </w:rPr>
        <w:t>关键不在“有视频”，而在法官或书记员核验身份、询问具体代理人和权限、形成笔录或系统记录。最高法公开答复认可对授权委托书采取电话核实。</w:t>
      </w:r>
    </w:p>
    <w:p>
      <w:pPr>
        <w:keepNext/>
        <w:spacing w:line="360" w:lineRule="auto" w:before="140" w:after="0"/>
      </w:pPr>
      <w:r>
        <w:rPr>
          <w:rFonts w:ascii="黑体" w:hAnsi="黑体" w:eastAsia="黑体"/>
          <w:b/>
          <w:sz w:val="30"/>
        </w:rPr>
        <w:t>6. 微信确认</w:t>
      </w:r>
    </w:p>
    <w:p>
      <w:pPr>
        <w:spacing w:line="360" w:lineRule="auto" w:before="0" w:after="0"/>
        <w:ind w:firstLine="629"/>
      </w:pPr>
      <w:r>
        <w:rPr>
          <w:rFonts w:ascii="仿宋" w:hAnsi="仿宋" w:eastAsia="仿宋"/>
          <w:b/>
          <w:sz w:val="30"/>
        </w:rPr>
        <w:t>只能作为辅助。</w:t>
      </w:r>
      <w:r>
        <w:rPr>
          <w:rFonts w:ascii="仿宋" w:hAnsi="仿宋" w:eastAsia="仿宋"/>
          <w:b w:val="0"/>
          <w:sz w:val="30"/>
        </w:rPr>
        <w:t>微信聊天属于电子数据，可以证明当前授权意思，但不能稳定替代司法解释要求的签名或盖章授权书。至少要保留账号主页、双方完整聊天、文件发送记录、明确的代理人姓名和权限、语音/视频确认及原始手机载体。</w:t>
      </w:r>
    </w:p>
    <w:p>
      <w:pPr>
        <w:keepNext/>
        <w:spacing w:line="360" w:lineRule="auto" w:before="200" w:after="80"/>
      </w:pPr>
      <w:r>
        <w:rPr>
          <w:rFonts w:ascii="黑体" w:hAnsi="黑体" w:eastAsia="黑体"/>
          <w:b/>
          <w:sz w:val="32"/>
        </w:rPr>
        <w:t>十一、开庭前具体操作清单</w:t>
      </w:r>
    </w:p>
    <w:p>
      <w:pPr>
        <w:keepNext/>
        <w:spacing w:line="360" w:lineRule="auto" w:before="140" w:after="0"/>
      </w:pPr>
      <w:r>
        <w:rPr>
          <w:rFonts w:ascii="黑体" w:hAnsi="黑体" w:eastAsia="黑体"/>
          <w:b/>
          <w:sz w:val="30"/>
        </w:rPr>
        <w:t>当天立即完成</w:t>
      </w:r>
    </w:p>
    <w:p>
      <w:pPr>
        <w:spacing w:line="360" w:lineRule="auto" w:before="0" w:after="0"/>
        <w:ind w:hanging="340" w:left="680"/>
      </w:pPr>
      <w:r>
        <w:rPr>
          <w:rFonts w:ascii="仿宋" w:hAnsi="仿宋" w:eastAsia="仿宋"/>
          <w:b w:val="0"/>
          <w:sz w:val="30"/>
        </w:rPr>
        <w:t>1. 李燕或冯宇联系二审书记员，询问：是否认可一审卷内授权继续使用；是否可先交黄敏亲签扫描件、开庭后补原件；法院是否支持在线授权或视频核验。</w:t>
      </w:r>
    </w:p>
    <w:p>
      <w:pPr>
        <w:spacing w:line="360" w:lineRule="auto" w:before="0" w:after="0"/>
        <w:ind w:hanging="340" w:left="680"/>
      </w:pPr>
      <w:r>
        <w:rPr>
          <w:rFonts w:ascii="仿宋" w:hAnsi="仿宋" w:eastAsia="仿宋"/>
          <w:b w:val="0"/>
          <w:sz w:val="30"/>
        </w:rPr>
        <w:t>2. 从一审卷宗或本人保管材料中找到</w:t>
      </w:r>
      <w:r>
        <w:rPr>
          <w:rFonts w:ascii="仿宋" w:hAnsi="仿宋" w:eastAsia="仿宋"/>
          <w:b/>
          <w:sz w:val="30"/>
        </w:rPr>
        <w:t>实际签署版</w:t>
      </w:r>
      <w:r>
        <w:rPr>
          <w:rFonts w:ascii="仿宋" w:hAnsi="仿宋" w:eastAsia="仿宋"/>
          <w:b w:val="0"/>
          <w:sz w:val="30"/>
        </w:rPr>
        <w:t>旧授权，核对：是否确有黄敏、熊玲翠签名；是否列李燕、冯宇两人；权限是否与所述原文一致。</w:t>
      </w:r>
    </w:p>
    <w:p>
      <w:pPr>
        <w:spacing w:line="360" w:lineRule="auto" w:before="0" w:after="0"/>
        <w:ind w:hanging="340" w:left="680"/>
      </w:pPr>
      <w:r>
        <w:rPr>
          <w:rFonts w:ascii="仿宋" w:hAnsi="仿宋" w:eastAsia="仿宋"/>
          <w:b w:val="0"/>
          <w:sz w:val="30"/>
        </w:rPr>
        <w:t>3. 旧授权保持原貌，不删改“长沙铁路运输法院”。</w:t>
      </w:r>
    </w:p>
    <w:p>
      <w:pPr>
        <w:spacing w:line="360" w:lineRule="auto" w:before="0" w:after="0"/>
        <w:ind w:hanging="340" w:left="680"/>
      </w:pPr>
      <w:r>
        <w:rPr>
          <w:rFonts w:ascii="仿宋" w:hAnsi="仿宋" w:eastAsia="仿宋"/>
          <w:b w:val="0"/>
          <w:sz w:val="30"/>
        </w:rPr>
        <w:t>4. 提交《原授权委托书继续有效情况说明暨代理权限核实申请》，由李燕、冯宇以自己的真实姓名签名。</w:t>
      </w:r>
    </w:p>
    <w:p>
      <w:pPr>
        <w:keepNext/>
        <w:spacing w:line="360" w:lineRule="auto" w:before="140" w:after="0"/>
      </w:pPr>
      <w:r>
        <w:rPr>
          <w:rFonts w:ascii="黑体" w:hAnsi="黑体" w:eastAsia="黑体"/>
          <w:b/>
          <w:sz w:val="30"/>
        </w:rPr>
        <w:t>黄敏在旅游地完成</w:t>
      </w:r>
    </w:p>
    <w:p>
      <w:pPr>
        <w:spacing w:line="360" w:lineRule="auto" w:before="0" w:after="0"/>
        <w:ind w:hanging="340" w:left="680"/>
      </w:pPr>
      <w:r>
        <w:rPr>
          <w:rFonts w:ascii="仿宋" w:hAnsi="仿宋" w:eastAsia="仿宋"/>
          <w:b w:val="0"/>
          <w:sz w:val="30"/>
        </w:rPr>
        <w:t>1. 打印新的共同授权委托书；黄敏在委托人签名处亲笔签名并写日期。</w:t>
      </w:r>
    </w:p>
    <w:p>
      <w:pPr>
        <w:spacing w:line="360" w:lineRule="auto" w:before="0" w:after="0"/>
        <w:ind w:hanging="340" w:left="680"/>
      </w:pPr>
      <w:r>
        <w:rPr>
          <w:rFonts w:ascii="仿宋" w:hAnsi="仿宋" w:eastAsia="仿宋"/>
          <w:b w:val="0"/>
          <w:sz w:val="30"/>
        </w:rPr>
        <w:t>2. 逐页扫描或拍照，合成清晰PDF，当日发给代理人。</w:t>
      </w:r>
    </w:p>
    <w:p>
      <w:pPr>
        <w:spacing w:line="360" w:lineRule="auto" w:before="0" w:after="0"/>
        <w:ind w:hanging="340" w:left="680"/>
      </w:pPr>
      <w:r>
        <w:rPr>
          <w:rFonts w:ascii="仿宋" w:hAnsi="仿宋" w:eastAsia="仿宋"/>
          <w:b w:val="0"/>
          <w:sz w:val="30"/>
        </w:rPr>
        <w:t>3. 录制简短确认视频作为辅助，不替代亲签文件。</w:t>
      </w:r>
    </w:p>
    <w:p>
      <w:pPr>
        <w:spacing w:line="360" w:lineRule="auto" w:before="0" w:after="0"/>
        <w:ind w:hanging="340" w:left="680"/>
      </w:pPr>
      <w:r>
        <w:rPr>
          <w:rFonts w:ascii="仿宋" w:hAnsi="仿宋" w:eastAsia="仿宋"/>
          <w:b w:val="0"/>
          <w:sz w:val="30"/>
        </w:rPr>
        <w:t>4. 原件用EMS或顺丰寄出；快递面单备注案号，拍照留存并发送物流单号。</w:t>
      </w:r>
    </w:p>
    <w:p>
      <w:pPr>
        <w:spacing w:line="360" w:lineRule="auto" w:before="0" w:after="0"/>
        <w:ind w:hanging="340" w:left="680"/>
      </w:pPr>
      <w:r>
        <w:rPr>
          <w:rFonts w:ascii="仿宋" w:hAnsi="仿宋" w:eastAsia="仿宋"/>
          <w:b w:val="0"/>
          <w:sz w:val="30"/>
        </w:rPr>
        <w:t>5. 若使用共同授权书，熊玲翠在收到原件后也亲笔签名、写同一文件的签署日期；如时间太紧，两人可分别签署内容相同的单独授权书，避免文件来回流转。</w:t>
      </w:r>
    </w:p>
    <w:p>
      <w:pPr>
        <w:keepNext/>
        <w:spacing w:line="360" w:lineRule="auto" w:before="140" w:after="0"/>
      </w:pPr>
      <w:r>
        <w:rPr>
          <w:rFonts w:ascii="黑体" w:hAnsi="黑体" w:eastAsia="黑体"/>
          <w:b/>
          <w:sz w:val="30"/>
        </w:rPr>
        <w:t>向二审法院提交的材料</w:t>
      </w:r>
    </w:p>
    <w:p>
      <w:pPr>
        <w:spacing w:line="360" w:lineRule="auto" w:before="0" w:after="0"/>
        <w:ind w:hanging="340" w:left="680"/>
      </w:pPr>
      <w:r>
        <w:rPr>
          <w:rFonts w:ascii="仿宋" w:hAnsi="仿宋" w:eastAsia="仿宋"/>
          <w:b w:val="0"/>
          <w:sz w:val="30"/>
        </w:rPr>
        <w:t>1. 一审卷内旧授权委托书的原样复印件；</w:t>
      </w:r>
    </w:p>
    <w:p>
      <w:pPr>
        <w:spacing w:line="360" w:lineRule="auto" w:before="0" w:after="0"/>
        <w:ind w:hanging="340" w:left="680"/>
      </w:pPr>
      <w:r>
        <w:rPr>
          <w:rFonts w:ascii="仿宋" w:hAnsi="仿宋" w:eastAsia="仿宋"/>
          <w:b w:val="0"/>
          <w:sz w:val="30"/>
        </w:rPr>
        <w:t>2. 《原授权委托书继续有效情况说明暨代理权限核实申请》；</w:t>
      </w:r>
    </w:p>
    <w:p>
      <w:pPr>
        <w:spacing w:line="360" w:lineRule="auto" w:before="0" w:after="0"/>
        <w:ind w:hanging="340" w:left="680"/>
      </w:pPr>
      <w:r>
        <w:rPr>
          <w:rFonts w:ascii="仿宋" w:hAnsi="仿宋" w:eastAsia="仿宋"/>
          <w:b w:val="0"/>
          <w:sz w:val="30"/>
        </w:rPr>
        <w:t>3. 黄敏亲签的新二审授权书扫描件或清晰照片；</w:t>
      </w:r>
    </w:p>
    <w:p>
      <w:pPr>
        <w:spacing w:line="360" w:lineRule="auto" w:before="0" w:after="0"/>
        <w:ind w:hanging="340" w:left="680"/>
      </w:pPr>
      <w:r>
        <w:rPr>
          <w:rFonts w:ascii="仿宋" w:hAnsi="仿宋" w:eastAsia="仿宋"/>
          <w:b w:val="0"/>
          <w:sz w:val="30"/>
        </w:rPr>
        <w:t>4. 原件邮寄凭证和物流截图；</w:t>
      </w:r>
    </w:p>
    <w:p>
      <w:pPr>
        <w:spacing w:line="360" w:lineRule="auto" w:before="0" w:after="0"/>
        <w:ind w:hanging="340" w:left="680"/>
      </w:pPr>
      <w:r>
        <w:rPr>
          <w:rFonts w:ascii="仿宋" w:hAnsi="仿宋" w:eastAsia="仿宋"/>
          <w:b w:val="0"/>
          <w:sz w:val="30"/>
        </w:rPr>
        <w:t>5. 李燕、冯宇身份证明及与黄敏、熊玲翠亲属关系证明；如一审卷已有，可请求援引并核查；</w:t>
      </w:r>
    </w:p>
    <w:p>
      <w:pPr>
        <w:spacing w:line="360" w:lineRule="auto" w:before="0" w:after="0"/>
        <w:ind w:hanging="340" w:left="680"/>
      </w:pPr>
      <w:r>
        <w:rPr>
          <w:rFonts w:ascii="仿宋" w:hAnsi="仿宋" w:eastAsia="仿宋"/>
          <w:b w:val="0"/>
          <w:sz w:val="30"/>
        </w:rPr>
        <w:t>6. 一审判决首页中记载代理人身份的页面；</w:t>
      </w:r>
    </w:p>
    <w:p>
      <w:pPr>
        <w:spacing w:line="360" w:lineRule="auto" w:before="0" w:after="0"/>
        <w:ind w:hanging="340" w:left="680"/>
      </w:pPr>
      <w:r>
        <w:rPr>
          <w:rFonts w:ascii="仿宋" w:hAnsi="仿宋" w:eastAsia="仿宋"/>
          <w:b w:val="0"/>
          <w:sz w:val="30"/>
        </w:rPr>
        <w:t>7. 视频、微信确认材料，仅作为辅助；</w:t>
      </w:r>
    </w:p>
    <w:p>
      <w:pPr>
        <w:spacing w:line="360" w:lineRule="auto" w:before="0" w:after="0"/>
        <w:ind w:hanging="340" w:left="680"/>
      </w:pPr>
      <w:r>
        <w:rPr>
          <w:rFonts w:ascii="仿宋" w:hAnsi="仿宋" w:eastAsia="仿宋"/>
          <w:b w:val="0"/>
          <w:sz w:val="30"/>
        </w:rPr>
        <w:t>8. 《黄敏不能亲自到庭情况说明及远程参加申请》（如二审已传唤黄敏本人且她不能到庭）；</w:t>
      </w:r>
    </w:p>
    <w:p>
      <w:pPr>
        <w:spacing w:line="360" w:lineRule="auto" w:before="0" w:after="0"/>
        <w:ind w:hanging="340" w:left="680"/>
      </w:pPr>
      <w:r>
        <w:rPr>
          <w:rFonts w:ascii="仿宋" w:hAnsi="仿宋" w:eastAsia="仿宋"/>
          <w:b w:val="0"/>
          <w:sz w:val="30"/>
        </w:rPr>
        <w:t>9. 原件到达后立即补交，并请求法院出具收件凭证或在系统中确认收讫。</w:t>
      </w:r>
    </w:p>
    <w:p>
      <w:pPr>
        <w:keepNext/>
        <w:spacing w:line="360" w:lineRule="auto" w:before="200" w:after="80"/>
      </w:pPr>
      <w:r>
        <w:rPr>
          <w:rFonts w:ascii="黑体" w:hAnsi="黑体" w:eastAsia="黑体"/>
          <w:b/>
          <w:sz w:val="32"/>
        </w:rPr>
        <w:t>十二、黄敏不能亲自到庭的程序影响</w:t>
      </w:r>
    </w:p>
    <w:p>
      <w:pPr>
        <w:spacing w:line="360" w:lineRule="auto" w:before="0" w:after="0"/>
        <w:ind w:firstLine="629"/>
      </w:pPr>
      <w:r>
        <w:rPr>
          <w:rFonts w:ascii="仿宋" w:hAnsi="仿宋" w:eastAsia="仿宋"/>
          <w:b w:val="0"/>
          <w:sz w:val="30"/>
        </w:rPr>
        <w:t>《行政诉讼法》第五十八条规定，原告经传票传唤，无正当理由拒不到庭或未经许可中途退庭，可以按撤诉处理；被告不到庭可以缺席判决。司法解释第七十九条还规定，法院裁定不准许撤诉后，当事人仍不到庭的，可以缺席判决。</w:t>
      </w:r>
      <w:hyperlink r:id="rId18">
        <w:r>
          <w:rPr>
            <w:rFonts w:eastAsia="仿宋" w:ascii="仿宋" w:hAnsi="仿宋"/>
            <w:color w:val="1F4E79"/>
            <w:u w:val="single"/>
            <w:sz w:val="30"/>
          </w:rPr>
          <w:t>国家市场监督管理总局：行政诉讼法</w:t>
        </w:r>
      </w:hyperlink>
      <w:r>
        <w:rPr>
          <w:rFonts w:ascii="仿宋" w:hAnsi="仿宋" w:eastAsia="仿宋"/>
          <w:b w:val="0"/>
          <w:sz w:val="30"/>
        </w:rPr>
        <w:t xml:space="preserve"> </w:t>
      </w:r>
      <w:hyperlink r:id="rId11">
        <w:r>
          <w:rPr>
            <w:rFonts w:eastAsia="仿宋" w:ascii="仿宋" w:hAnsi="仿宋"/>
            <w:color w:val="1F4E79"/>
            <w:u w:val="single"/>
            <w:sz w:val="30"/>
          </w:rPr>
          <w:t>最高人民法院公报：行政诉讼法司法解释</w:t>
        </w:r>
      </w:hyperlink>
    </w:p>
    <w:p>
      <w:pPr>
        <w:spacing w:line="360" w:lineRule="auto" w:before="0" w:after="0"/>
        <w:ind w:firstLine="629"/>
      </w:pPr>
      <w:r>
        <w:rPr>
          <w:rFonts w:ascii="仿宋" w:hAnsi="仿宋" w:eastAsia="仿宋"/>
          <w:b/>
          <w:sz w:val="30"/>
        </w:rPr>
        <w:t>【合理解释结论】</w:t>
      </w:r>
      <w:r>
        <w:rPr>
          <w:rFonts w:ascii="仿宋" w:hAnsi="仿宋" w:eastAsia="仿宋"/>
          <w:b w:val="0"/>
          <w:sz w:val="30"/>
        </w:rPr>
        <w:t>代理手续有效且代理人按时到庭时，黄敏原则上可以由代理人参加二审，不因本人旅游未到就当然丧失上诉权。法律并未规定所有行政二审上诉人都必须本人出庭。</w:t>
      </w:r>
    </w:p>
    <w:p>
      <w:pPr>
        <w:spacing w:line="360" w:lineRule="auto" w:before="0" w:after="0"/>
        <w:ind w:firstLine="629"/>
      </w:pPr>
      <w:r>
        <w:rPr>
          <w:rFonts w:ascii="仿宋" w:hAnsi="仿宋" w:eastAsia="仿宋"/>
          <w:b/>
          <w:sz w:val="30"/>
        </w:rPr>
        <w:t>【需由二审法院确认】</w:t>
      </w:r>
      <w:r>
        <w:rPr>
          <w:rFonts w:ascii="仿宋" w:hAnsi="仿宋" w:eastAsia="仿宋"/>
          <w:b w:val="0"/>
          <w:sz w:val="30"/>
        </w:rPr>
        <w:t>如果传票或法院另行通知明确要求黄敏本人接受询问、核实授权或就特定事实陈述，单纯“在外旅游”是否构成正当理由并无保证。旅游通常不是不可抗力。应在开庭前书面申请远程视频参加或说明返程困难；如确需延期，应提出具体返程时间和证据，请法院决定。</w:t>
      </w:r>
    </w:p>
    <w:p>
      <w:pPr>
        <w:spacing w:line="360" w:lineRule="auto" w:before="0" w:after="0"/>
        <w:ind w:firstLine="629"/>
      </w:pPr>
      <w:r>
        <w:rPr>
          <w:rFonts w:ascii="仿宋" w:hAnsi="仿宋" w:eastAsia="仿宋"/>
          <w:b w:val="0"/>
          <w:sz w:val="30"/>
        </w:rPr>
        <w:t>《人民法院在线诉讼规则》第二十一条允许法院根据当事人意愿、案件情况和技术条件决定是否视频庭审；第二十五条规定无正当理由不参加在线庭审可视为拒不到庭。因此，获得在线参加许可后，也必须按时登录并保持设备、网络可用。</w:t>
      </w:r>
      <w:hyperlink r:id="rId14">
        <w:r>
          <w:rPr>
            <w:rFonts w:eastAsia="仿宋" w:ascii="仿宋" w:hAnsi="仿宋"/>
            <w:color w:val="1F4E79"/>
            <w:u w:val="single"/>
            <w:sz w:val="30"/>
          </w:rPr>
          <w:t>最高人民法院公报：人民法院在线诉讼规则</w:t>
        </w:r>
      </w:hyperlink>
    </w:p>
    <w:p>
      <w:pPr>
        <w:keepNext/>
        <w:spacing w:line="360" w:lineRule="auto" w:before="200" w:after="80"/>
      </w:pPr>
      <w:r>
        <w:rPr>
          <w:rFonts w:ascii="黑体" w:hAnsi="黑体" w:eastAsia="黑体"/>
          <w:b/>
          <w:sz w:val="32"/>
        </w:rPr>
        <w:t>十三、代理手续有争议时法院是否应允许补正</w:t>
      </w:r>
    </w:p>
    <w:p>
      <w:pPr>
        <w:spacing w:line="360" w:lineRule="auto" w:before="0" w:after="0"/>
        <w:ind w:firstLine="629"/>
      </w:pPr>
      <w:r>
        <w:rPr>
          <w:rFonts w:ascii="仿宋" w:hAnsi="仿宋" w:eastAsia="仿宋"/>
          <w:b/>
          <w:sz w:val="30"/>
        </w:rPr>
        <w:t>【法律确定结论】</w:t>
      </w:r>
      <w:r>
        <w:rPr>
          <w:rFonts w:ascii="仿宋" w:hAnsi="仿宋" w:eastAsia="仿宋"/>
          <w:b w:val="0"/>
          <w:sz w:val="30"/>
        </w:rPr>
        <w:t>行政诉讼法第五十一条及司法解释第五十五条对起诉材料欠缺规定了指导、释明和限期补正；司法解释第六十九条第二款规定，对其前款所列可补正或更正的情形，法院应指定期间责令补正或更正。在线立案材料欠缺时，《人民法院在线诉讼规则》也要求通知补正内容和期限。</w:t>
      </w:r>
    </w:p>
    <w:p>
      <w:pPr>
        <w:spacing w:line="360" w:lineRule="auto" w:before="0" w:after="0"/>
        <w:ind w:firstLine="629"/>
      </w:pPr>
      <w:r>
        <w:rPr>
          <w:rFonts w:ascii="仿宋" w:hAnsi="仿宋" w:eastAsia="仿宋"/>
          <w:b/>
          <w:sz w:val="30"/>
        </w:rPr>
        <w:t>【合理解释结论】</w:t>
      </w:r>
      <w:r>
        <w:rPr>
          <w:rFonts w:ascii="仿宋" w:hAnsi="仿宋" w:eastAsia="仿宋"/>
          <w:b w:val="0"/>
          <w:sz w:val="30"/>
        </w:rPr>
        <w:t>代理资格属于能够迅速补正和核验的程序事项。尤其本案上诉已经受理、传票已经发出，法院通常应先核查一审卷宗、向黄敏核实或指定期限补交新授权，而不应把“授权证明暂时不足”直接等同于黄敏真实表示撤回上诉。</w:t>
      </w:r>
    </w:p>
    <w:p>
      <w:pPr>
        <w:spacing w:line="360" w:lineRule="auto" w:before="0" w:after="0"/>
        <w:ind w:firstLine="629"/>
      </w:pPr>
      <w:r>
        <w:rPr>
          <w:rFonts w:ascii="仿宋" w:hAnsi="仿宋" w:eastAsia="仿宋"/>
          <w:b/>
          <w:sz w:val="30"/>
        </w:rPr>
        <w:t>【不能夸大的边界】</w:t>
      </w:r>
      <w:r>
        <w:rPr>
          <w:rFonts w:ascii="仿宋" w:hAnsi="仿宋" w:eastAsia="仿宋"/>
          <w:b w:val="0"/>
          <w:sz w:val="30"/>
        </w:rPr>
        <w:t>现行行政诉讼法没有一条专门写明“二审代理授权瑕疵在任何情况下都必须先补正，否则绝不能按撤回上诉处理”。如果法院否定代理人资格后，黄敏本人又经明确传唤无正当理由不到庭，仍可能触发不到庭风险。因此，不能把“应当补正”当成拖延授权手续的保险。</w:t>
      </w:r>
    </w:p>
    <w:p>
      <w:pPr>
        <w:spacing w:line="312" w:lineRule="auto" w:before="80" w:after="80"/>
        <w:ind w:left="397" w:right="227"/>
        <w:pBdr>
          <w:left w:val="single" w:sz="18" w:space="8" w:color="9E2A2B"/>
        </w:pBdr>
      </w:pPr>
      <w:r>
        <w:rPr>
          <w:rFonts w:ascii="仿宋" w:hAnsi="仿宋" w:eastAsia="仿宋"/>
          <w:b/>
          <w:color w:val="C00000"/>
          <w:sz w:val="24"/>
        </w:rPr>
        <w:t>【批注】法源边界：可主张法院先核验和允许补正，但不能把它表述成任何情况下都不得处理缺席或代理资格问题的绝对规则。</w:t>
      </w:r>
    </w:p>
    <w:p>
      <w:pPr>
        <w:keepNext/>
        <w:spacing w:line="360" w:lineRule="auto" w:before="200" w:after="80"/>
      </w:pPr>
      <w:r>
        <w:rPr>
          <w:rFonts w:ascii="黑体" w:hAnsi="黑体" w:eastAsia="黑体"/>
          <w:b/>
          <w:sz w:val="32"/>
        </w:rPr>
        <w:t>十四、黄敏与熊玲翠共同上诉的相互影响</w:t>
      </w:r>
    </w:p>
    <w:p>
      <w:pPr>
        <w:spacing w:line="360" w:lineRule="auto" w:before="0" w:after="0"/>
        <w:ind w:firstLine="629"/>
      </w:pPr>
      <w:r>
        <w:rPr>
          <w:rFonts w:ascii="仿宋" w:hAnsi="仿宋" w:eastAsia="仿宋"/>
          <w:b w:val="0"/>
          <w:sz w:val="30"/>
        </w:rPr>
        <w:t>行政诉讼法司法解释第一百零七条明确：部分诉讼当事人上诉时，未上诉的其他当事人按规则列明其诉讼地位。</w:t>
      </w:r>
      <w:hyperlink r:id="rId19">
        <w:r>
          <w:rPr>
            <w:rFonts w:eastAsia="仿宋" w:ascii="仿宋" w:hAnsi="仿宋"/>
            <w:color w:val="1F4E79"/>
            <w:u w:val="single"/>
            <w:sz w:val="30"/>
          </w:rPr>
          <w:t>最高人民法院知识产权法庭：行政诉讼法司法解释第一百零七条</w:t>
        </w:r>
      </w:hyperlink>
    </w:p>
    <w:p>
      <w:pPr>
        <w:spacing w:line="360" w:lineRule="auto" w:before="0" w:after="0"/>
        <w:ind w:hanging="340" w:left="680"/>
      </w:pPr>
      <w:r>
        <w:rPr>
          <w:rFonts w:ascii="仿宋" w:hAnsi="仿宋" w:eastAsia="仿宋"/>
          <w:b w:val="0"/>
          <w:sz w:val="30"/>
        </w:rPr>
        <w:t xml:space="preserve">1. </w:t>
      </w:r>
      <w:r>
        <w:rPr>
          <w:rFonts w:ascii="仿宋" w:hAnsi="仿宋" w:eastAsia="仿宋"/>
          <w:b/>
          <w:sz w:val="30"/>
        </w:rPr>
        <w:t>【法律确定结论】</w:t>
      </w:r>
      <w:r>
        <w:rPr>
          <w:rFonts w:ascii="仿宋" w:hAnsi="仿宋" w:eastAsia="仿宋"/>
          <w:b w:val="0"/>
          <w:sz w:val="30"/>
        </w:rPr>
        <w:t>熊玲翠的上诉行为、到庭行为和授权手续具有独立效力。黄敏的代理手续有瑕疵，不会自动使熊玲翠的有效上诉和有效授权全部失效。</w:t>
      </w:r>
    </w:p>
    <w:p>
      <w:pPr>
        <w:spacing w:line="360" w:lineRule="auto" w:before="0" w:after="0"/>
        <w:ind w:hanging="340" w:left="680"/>
      </w:pPr>
      <w:r>
        <w:rPr>
          <w:rFonts w:ascii="仿宋" w:hAnsi="仿宋" w:eastAsia="仿宋"/>
          <w:b w:val="0"/>
          <w:sz w:val="30"/>
        </w:rPr>
        <w:t xml:space="preserve">2. </w:t>
      </w:r>
      <w:r>
        <w:rPr>
          <w:rFonts w:ascii="仿宋" w:hAnsi="仿宋" w:eastAsia="仿宋"/>
          <w:b/>
          <w:sz w:val="30"/>
        </w:rPr>
        <w:t>【法律确定结论】</w:t>
      </w:r>
      <w:r>
        <w:rPr>
          <w:rFonts w:ascii="仿宋" w:hAnsi="仿宋" w:eastAsia="仿宋"/>
          <w:b w:val="0"/>
          <w:sz w:val="30"/>
        </w:rPr>
        <w:t>熊玲翠不是黄敏的法定代理人，也不能仅凭共同产权人、共同上诉人身份代黄敏处分诉讼权利。</w:t>
      </w:r>
    </w:p>
    <w:p>
      <w:pPr>
        <w:spacing w:line="360" w:lineRule="auto" w:before="0" w:after="0"/>
        <w:ind w:hanging="340" w:left="680"/>
      </w:pPr>
      <w:r>
        <w:rPr>
          <w:rFonts w:ascii="仿宋" w:hAnsi="仿宋" w:eastAsia="仿宋"/>
          <w:b w:val="0"/>
          <w:sz w:val="30"/>
        </w:rPr>
        <w:t xml:space="preserve">3. </w:t>
      </w:r>
      <w:r>
        <w:rPr>
          <w:rFonts w:ascii="仿宋" w:hAnsi="仿宋" w:eastAsia="仿宋"/>
          <w:b/>
          <w:sz w:val="30"/>
        </w:rPr>
        <w:t>【合理解释结论】</w:t>
      </w:r>
      <w:r>
        <w:rPr>
          <w:rFonts w:ascii="仿宋" w:hAnsi="仿宋" w:eastAsia="仿宋"/>
          <w:b w:val="0"/>
          <w:sz w:val="30"/>
        </w:rPr>
        <w:t>两人针对同一不履行行政职责争议提出相同请求，二审对被诉行政行为的审查结果在事实上具有高度共同性；即使黄敏的程序地位受影响，熊玲翠的上诉仍可推动法院审查原判和被诉行政行为。</w:t>
      </w:r>
    </w:p>
    <w:p>
      <w:pPr>
        <w:spacing w:line="360" w:lineRule="auto" w:before="0" w:after="0"/>
        <w:ind w:hanging="340" w:left="680"/>
      </w:pPr>
      <w:r>
        <w:rPr>
          <w:rFonts w:ascii="仿宋" w:hAnsi="仿宋" w:eastAsia="仿宋"/>
          <w:b w:val="0"/>
          <w:sz w:val="30"/>
        </w:rPr>
        <w:t xml:space="preserve">4. </w:t>
      </w:r>
      <w:r>
        <w:rPr>
          <w:rFonts w:ascii="仿宋" w:hAnsi="仿宋" w:eastAsia="仿宋"/>
          <w:b/>
          <w:sz w:val="30"/>
        </w:rPr>
        <w:t>实际损害仍然存在。</w:t>
      </w:r>
      <w:r>
        <w:rPr>
          <w:rFonts w:ascii="仿宋" w:hAnsi="仿宋" w:eastAsia="仿宋"/>
          <w:b w:val="0"/>
          <w:sz w:val="30"/>
        </w:rPr>
        <w:t>黄敏若被按撤回上诉处理或失去独立代理，其本人将失去独立陈述、举证、质证、接受送达和处分权的程序保障；不能把熊玲翠继续诉讼视为黄敏手续可以不补的理由。</w:t>
      </w:r>
    </w:p>
    <w:p>
      <w:pPr>
        <w:keepNext/>
        <w:spacing w:line="360" w:lineRule="auto" w:before="200" w:after="80"/>
      </w:pPr>
      <w:r>
        <w:rPr>
          <w:rFonts w:ascii="黑体" w:hAnsi="黑体" w:eastAsia="黑体"/>
          <w:b/>
          <w:sz w:val="32"/>
        </w:rPr>
        <w:t>十五、程序决策树</w:t>
      </w:r>
    </w:p>
    <w:p>
      <w:pPr>
        <w:spacing w:line="288" w:lineRule="auto" w:before="0" w:after="0"/>
        <w:ind w:left="227"/>
      </w:pPr>
      <w:r>
        <w:rPr>
          <w:rFonts w:ascii="等线" w:hAnsi="等线" w:eastAsia="等线"/>
          <w:b w:val="0"/>
          <w:sz w:val="21"/>
        </w:rPr>
        <w:t>开始</w:t>
      </w:r>
    </w:p>
    <w:p>
      <w:pPr>
        <w:spacing w:line="288" w:lineRule="auto" w:before="0" w:after="0"/>
        <w:ind w:left="227"/>
      </w:pPr>
      <w:r>
        <w:rPr>
          <w:rFonts w:ascii="等线" w:hAnsi="等线" w:eastAsia="等线"/>
          <w:b w:val="0"/>
          <w:sz w:val="21"/>
        </w:rPr>
        <w:t xml:space="preserve"> ├─ 法院认可一审旧授权继续有效</w:t>
      </w:r>
    </w:p>
    <w:p>
      <w:pPr>
        <w:spacing w:line="288" w:lineRule="auto" w:before="0" w:after="0"/>
        <w:ind w:left="227"/>
      </w:pPr>
      <w:r>
        <w:rPr>
          <w:rFonts w:ascii="等线" w:hAnsi="等线" w:eastAsia="等线"/>
          <w:b w:val="0"/>
          <w:sz w:val="21"/>
        </w:rPr>
        <w:t xml:space="preserve"> │   ├─ 代理人按时到庭、提交证据和代理意见</w:t>
      </w:r>
    </w:p>
    <w:p>
      <w:pPr>
        <w:spacing w:line="288" w:lineRule="auto" w:before="0" w:after="0"/>
        <w:ind w:left="227"/>
      </w:pPr>
      <w:r>
        <w:rPr>
          <w:rFonts w:ascii="等线" w:hAnsi="等线" w:eastAsia="等线"/>
          <w:b w:val="0"/>
          <w:sz w:val="21"/>
        </w:rPr>
        <w:t xml:space="preserve"> │   └─ 仍把黄敏亲签新授权作为备用，避免庭中争议</w:t>
      </w:r>
    </w:p>
    <w:p>
      <w:pPr>
        <w:spacing w:line="288" w:lineRule="auto" w:before="0" w:after="0"/>
        <w:ind w:left="227"/>
      </w:pPr>
      <w:r>
        <w:rPr>
          <w:rFonts w:ascii="等线" w:hAnsi="等线" w:eastAsia="等线"/>
          <w:b w:val="0"/>
          <w:sz w:val="21"/>
        </w:rPr>
        <w:t xml:space="preserve"> │</w:t>
      </w:r>
    </w:p>
    <w:p>
      <w:pPr>
        <w:spacing w:line="288" w:lineRule="auto" w:before="0" w:after="0"/>
        <w:ind w:left="227"/>
      </w:pPr>
      <w:r>
        <w:rPr>
          <w:rFonts w:ascii="等线" w:hAnsi="等线" w:eastAsia="等线"/>
          <w:b w:val="0"/>
          <w:sz w:val="21"/>
        </w:rPr>
        <w:t xml:space="preserve"> └─ 法院认为旧授权不足</w:t>
      </w:r>
    </w:p>
    <w:p>
      <w:pPr>
        <w:spacing w:line="288" w:lineRule="auto" w:before="0" w:after="0"/>
        <w:ind w:left="227"/>
      </w:pPr>
      <w:r>
        <w:rPr>
          <w:rFonts w:ascii="等线" w:hAnsi="等线" w:eastAsia="等线"/>
          <w:b w:val="0"/>
          <w:sz w:val="21"/>
        </w:rPr>
        <w:t xml:space="preserve">     ├─ 开庭前能收到纸质原件</w:t>
      </w:r>
    </w:p>
    <w:p>
      <w:pPr>
        <w:spacing w:line="288" w:lineRule="auto" w:before="0" w:after="0"/>
        <w:ind w:left="227"/>
      </w:pPr>
      <w:r>
        <w:rPr>
          <w:rFonts w:ascii="等线" w:hAnsi="等线" w:eastAsia="等线"/>
          <w:b w:val="0"/>
          <w:sz w:val="21"/>
        </w:rPr>
        <w:t xml:space="preserve">     │   ├─ 黄敏亲签；共同授权还需熊玲翠亲签</w:t>
      </w:r>
    </w:p>
    <w:p>
      <w:pPr>
        <w:spacing w:line="288" w:lineRule="auto" w:before="0" w:after="0"/>
        <w:ind w:left="227"/>
      </w:pPr>
      <w:r>
        <w:rPr>
          <w:rFonts w:ascii="等线" w:hAnsi="等线" w:eastAsia="等线"/>
          <w:b w:val="0"/>
          <w:sz w:val="21"/>
        </w:rPr>
        <w:t xml:space="preserve">     │   └─ 立即交原件并取得收件凭证</w:t>
      </w:r>
    </w:p>
    <w:p>
      <w:pPr>
        <w:spacing w:line="288" w:lineRule="auto" w:before="0" w:after="0"/>
        <w:ind w:left="227"/>
      </w:pPr>
      <w:r>
        <w:rPr>
          <w:rFonts w:ascii="等线" w:hAnsi="等线" w:eastAsia="等线"/>
          <w:b w:val="0"/>
          <w:sz w:val="21"/>
        </w:rPr>
        <w:t xml:space="preserve">     │</w:t>
      </w:r>
    </w:p>
    <w:p>
      <w:pPr>
        <w:spacing w:line="288" w:lineRule="auto" w:before="0" w:after="0"/>
        <w:ind w:left="227"/>
      </w:pPr>
      <w:r>
        <w:rPr>
          <w:rFonts w:ascii="等线" w:hAnsi="等线" w:eastAsia="等线"/>
          <w:b w:val="0"/>
          <w:sz w:val="21"/>
        </w:rPr>
        <w:t xml:space="preserve">     └─ 开庭前只能收到扫描件</w:t>
      </w:r>
    </w:p>
    <w:p>
      <w:pPr>
        <w:spacing w:line="288" w:lineRule="auto" w:before="0" w:after="0"/>
        <w:ind w:left="227"/>
      </w:pPr>
      <w:r>
        <w:rPr>
          <w:rFonts w:ascii="等线" w:hAnsi="等线" w:eastAsia="等线"/>
          <w:b w:val="0"/>
          <w:sz w:val="21"/>
        </w:rPr>
        <w:t xml:space="preserve">         ├─ 立即交扫描件＋快递底单＋物流截图</w:t>
      </w:r>
    </w:p>
    <w:p>
      <w:pPr>
        <w:spacing w:line="288" w:lineRule="auto" w:before="0" w:after="0"/>
        <w:ind w:left="227"/>
      </w:pPr>
      <w:r>
        <w:rPr>
          <w:rFonts w:ascii="等线" w:hAnsi="等线" w:eastAsia="等线"/>
          <w:b w:val="0"/>
          <w:sz w:val="21"/>
        </w:rPr>
        <w:t xml:space="preserve">         ├─ 申请庭后限期补原件</w:t>
      </w:r>
    </w:p>
    <w:p>
      <w:pPr>
        <w:spacing w:line="288" w:lineRule="auto" w:before="0" w:after="0"/>
        <w:ind w:left="227"/>
      </w:pPr>
      <w:r>
        <w:rPr>
          <w:rFonts w:ascii="等线" w:hAnsi="等线" w:eastAsia="等线"/>
          <w:b w:val="0"/>
          <w:sz w:val="21"/>
        </w:rPr>
        <w:t xml:space="preserve">         ├─ 法院接受电子签名/视频核验</w:t>
      </w:r>
    </w:p>
    <w:p>
      <w:pPr>
        <w:spacing w:line="288" w:lineRule="auto" w:before="0" w:after="0"/>
        <w:ind w:left="227"/>
      </w:pPr>
      <w:r>
        <w:rPr>
          <w:rFonts w:ascii="等线" w:hAnsi="等线" w:eastAsia="等线"/>
          <w:b w:val="0"/>
          <w:sz w:val="21"/>
        </w:rPr>
        <w:t xml:space="preserve">         │   ├─ 黄敏用实名认证账号确认或参加法院主持核验</w:t>
      </w:r>
    </w:p>
    <w:p>
      <w:pPr>
        <w:spacing w:line="288" w:lineRule="auto" w:before="0" w:after="0"/>
        <w:ind w:left="227"/>
      </w:pPr>
      <w:r>
        <w:rPr>
          <w:rFonts w:ascii="等线" w:hAnsi="等线" w:eastAsia="等线"/>
          <w:b w:val="0"/>
          <w:sz w:val="21"/>
        </w:rPr>
        <w:t xml:space="preserve">         │   └─ 请求形成笔录或系统记录</w:t>
      </w:r>
    </w:p>
    <w:p>
      <w:pPr>
        <w:spacing w:line="288" w:lineRule="auto" w:before="0" w:after="0"/>
        <w:ind w:left="227"/>
      </w:pPr>
      <w:r>
        <w:rPr>
          <w:rFonts w:ascii="等线" w:hAnsi="等线" w:eastAsia="等线"/>
          <w:b w:val="0"/>
          <w:sz w:val="21"/>
        </w:rPr>
        <w:t xml:space="preserve">         └─ 法院坚持开庭前必须纸质原件</w:t>
      </w:r>
    </w:p>
    <w:p>
      <w:pPr>
        <w:spacing w:line="288" w:lineRule="auto" w:before="0" w:after="0"/>
        <w:ind w:left="227"/>
      </w:pPr>
      <w:r>
        <w:rPr>
          <w:rFonts w:ascii="等线" w:hAnsi="等线" w:eastAsia="等线"/>
          <w:b w:val="0"/>
          <w:sz w:val="21"/>
        </w:rPr>
        <w:t xml:space="preserve">             ├─ 加急邮寄或直接寄二审法院</w:t>
      </w:r>
    </w:p>
    <w:p>
      <w:pPr>
        <w:spacing w:line="288" w:lineRule="auto" w:before="0" w:after="0"/>
        <w:ind w:left="227"/>
      </w:pPr>
      <w:r>
        <w:rPr>
          <w:rFonts w:ascii="等线" w:hAnsi="等线" w:eastAsia="等线"/>
          <w:b w:val="0"/>
          <w:sz w:val="21"/>
        </w:rPr>
        <w:t xml:space="preserve">             ├─ 申请延期开庭或允许黄敏远程参加</w:t>
      </w:r>
    </w:p>
    <w:p>
      <w:pPr>
        <w:spacing w:line="288" w:lineRule="auto" w:before="0" w:after="0"/>
        <w:ind w:left="227"/>
      </w:pPr>
      <w:r>
        <w:rPr>
          <w:rFonts w:ascii="等线" w:hAnsi="等线" w:eastAsia="等线"/>
          <w:b w:val="0"/>
          <w:sz w:val="21"/>
        </w:rPr>
        <w:t xml:space="preserve">             └─ 黄敏本人无法远程且原件赶不上：立即书面说明，</w:t>
      </w:r>
    </w:p>
    <w:p>
      <w:pPr>
        <w:spacing w:line="288" w:lineRule="auto" w:before="0" w:after="0"/>
        <w:ind w:left="227"/>
      </w:pPr>
      <w:r>
        <w:rPr>
          <w:rFonts w:ascii="等线" w:hAnsi="等线" w:eastAsia="等线"/>
          <w:b w:val="0"/>
          <w:sz w:val="21"/>
        </w:rPr>
        <w:t xml:space="preserve">                不得沉默缺席，不得由代理人冒签</w:t>
      </w:r>
    </w:p>
    <w:p>
      <w:pPr>
        <w:keepNext/>
        <w:spacing w:line="360" w:lineRule="auto" w:before="200" w:after="80"/>
      </w:pPr>
      <w:r>
        <w:rPr>
          <w:rFonts w:ascii="黑体" w:hAnsi="黑体" w:eastAsia="黑体"/>
          <w:b/>
          <w:sz w:val="32"/>
        </w:rPr>
        <w:t>十六、对六个关键问题的最后回答</w:t>
      </w:r>
    </w:p>
    <w:p>
      <w:pPr>
        <w:spacing w:line="360" w:lineRule="auto" w:before="0" w:after="0"/>
        <w:ind w:hanging="340" w:left="680"/>
      </w:pPr>
      <w:r>
        <w:rPr>
          <w:rFonts w:ascii="仿宋" w:hAnsi="仿宋" w:eastAsia="仿宋"/>
          <w:b w:val="0"/>
          <w:sz w:val="30"/>
        </w:rPr>
        <w:t xml:space="preserve">1. </w:t>
      </w:r>
      <w:r>
        <w:rPr>
          <w:rFonts w:ascii="仿宋" w:hAnsi="仿宋" w:eastAsia="仿宋"/>
          <w:b/>
          <w:sz w:val="30"/>
        </w:rPr>
        <w:t>原授权能否支持代理人代黄敏提起上诉？</w:t>
      </w:r>
      <w:r>
        <w:rPr>
          <w:rFonts w:ascii="仿宋" w:hAnsi="仿宋" w:eastAsia="仿宋"/>
          <w:b w:val="0"/>
          <w:sz w:val="30"/>
        </w:rPr>
        <w:t>能。代理人应以代理人自己的真实姓名签署和提交，不得冒签黄敏。</w:t>
      </w:r>
    </w:p>
    <w:p>
      <w:pPr>
        <w:spacing w:line="360" w:lineRule="auto" w:before="0" w:after="0"/>
        <w:ind w:hanging="340" w:left="680"/>
      </w:pPr>
      <w:r>
        <w:rPr>
          <w:rFonts w:ascii="仿宋" w:hAnsi="仿宋" w:eastAsia="仿宋"/>
          <w:b w:val="0"/>
          <w:sz w:val="30"/>
        </w:rPr>
        <w:t xml:space="preserve">2. </w:t>
      </w:r>
      <w:r>
        <w:rPr>
          <w:rFonts w:ascii="仿宋" w:hAnsi="仿宋" w:eastAsia="仿宋"/>
          <w:b/>
          <w:sz w:val="30"/>
        </w:rPr>
        <w:t>原授权能否覆盖全部二审？</w:t>
      </w:r>
      <w:r>
        <w:rPr>
          <w:rFonts w:ascii="仿宋" w:hAnsi="仿宋" w:eastAsia="仿宋"/>
          <w:b w:val="0"/>
          <w:sz w:val="30"/>
        </w:rPr>
        <w:t>有很强的全文解释依据，但不是无争议的法律自动结论，需长沙中院结合一审卷宗确认。</w:t>
      </w:r>
    </w:p>
    <w:p>
      <w:pPr>
        <w:spacing w:line="360" w:lineRule="auto" w:before="0" w:after="0"/>
        <w:ind w:hanging="340" w:left="680"/>
      </w:pPr>
      <w:r>
        <w:rPr>
          <w:rFonts w:ascii="仿宋" w:hAnsi="仿宋" w:eastAsia="仿宋"/>
          <w:b w:val="0"/>
          <w:sz w:val="30"/>
        </w:rPr>
        <w:t xml:space="preserve">3. </w:t>
      </w:r>
      <w:r>
        <w:rPr>
          <w:rFonts w:ascii="仿宋" w:hAnsi="仿宋" w:eastAsia="仿宋"/>
          <w:b/>
          <w:sz w:val="30"/>
        </w:rPr>
        <w:t>“代为提起上诉”是否等于参加全部二审？</w:t>
      </w:r>
      <w:r>
        <w:rPr>
          <w:rFonts w:ascii="仿宋" w:hAnsi="仿宋" w:eastAsia="仿宋"/>
          <w:b w:val="0"/>
          <w:sz w:val="30"/>
        </w:rPr>
        <w:t>不等于；必须结合证据、辩论、签收等条款。</w:t>
      </w:r>
    </w:p>
    <w:p>
      <w:pPr>
        <w:spacing w:line="360" w:lineRule="auto" w:before="0" w:after="0"/>
        <w:ind w:hanging="340" w:left="680"/>
      </w:pPr>
      <w:r>
        <w:rPr>
          <w:rFonts w:ascii="仿宋" w:hAnsi="仿宋" w:eastAsia="仿宋"/>
          <w:b w:val="0"/>
          <w:sz w:val="30"/>
        </w:rPr>
        <w:t xml:space="preserve">4. </w:t>
      </w:r>
      <w:r>
        <w:rPr>
          <w:rFonts w:ascii="仿宋" w:hAnsi="仿宋" w:eastAsia="仿宋"/>
          <w:b/>
          <w:sz w:val="30"/>
        </w:rPr>
        <w:t>“代为签收法律文书”是否等于“代为签署授权委托书”？</w:t>
      </w:r>
      <w:r>
        <w:rPr>
          <w:rFonts w:ascii="仿宋" w:hAnsi="仿宋" w:eastAsia="仿宋"/>
          <w:b w:val="0"/>
          <w:sz w:val="30"/>
        </w:rPr>
        <w:t>绝对不等于。</w:t>
      </w:r>
    </w:p>
    <w:p>
      <w:pPr>
        <w:spacing w:line="360" w:lineRule="auto" w:before="0" w:after="0"/>
        <w:ind w:hanging="340" w:left="680"/>
      </w:pPr>
      <w:r>
        <w:rPr>
          <w:rFonts w:ascii="仿宋" w:hAnsi="仿宋" w:eastAsia="仿宋"/>
          <w:b w:val="0"/>
          <w:sz w:val="30"/>
        </w:rPr>
        <w:t xml:space="preserve">5. </w:t>
      </w:r>
      <w:r>
        <w:rPr>
          <w:rFonts w:ascii="仿宋" w:hAnsi="仿宋" w:eastAsia="仿宋"/>
          <w:b/>
          <w:sz w:val="30"/>
        </w:rPr>
        <w:t>代理人能否代签新的二审授权书？</w:t>
      </w:r>
      <w:r>
        <w:rPr>
          <w:rFonts w:ascii="仿宋" w:hAnsi="仿宋" w:eastAsia="仿宋"/>
          <w:b w:val="0"/>
          <w:sz w:val="30"/>
        </w:rPr>
        <w:t>在没有明确代签授权、转委托授权的情况下，不能；模仿黄敏签名更不能做。</w:t>
      </w:r>
    </w:p>
    <w:p>
      <w:pPr>
        <w:spacing w:line="360" w:lineRule="auto" w:before="0" w:after="0"/>
        <w:ind w:hanging="340" w:left="680"/>
      </w:pPr>
      <w:r>
        <w:rPr>
          <w:rFonts w:ascii="仿宋" w:hAnsi="仿宋" w:eastAsia="仿宋"/>
          <w:b w:val="0"/>
          <w:sz w:val="30"/>
        </w:rPr>
        <w:t xml:space="preserve">6. </w:t>
      </w:r>
      <w:r>
        <w:rPr>
          <w:rFonts w:ascii="仿宋" w:hAnsi="仿宋" w:eastAsia="仿宋"/>
          <w:b/>
          <w:sz w:val="30"/>
        </w:rPr>
        <w:t>外地旅游最快最稳妥怎么办？</w:t>
      </w:r>
      <w:r>
        <w:rPr>
          <w:rFonts w:ascii="仿宋" w:hAnsi="仿宋" w:eastAsia="仿宋"/>
          <w:b w:val="0"/>
          <w:sz w:val="30"/>
        </w:rPr>
        <w:t>异地打印亲签，扫描件先交，原件加急邮寄，同时请法院电话/视频/在线核验。</w:t>
      </w:r>
    </w:p>
    <w:p>
      <w:pPr>
        <w:keepNext/>
        <w:spacing w:line="360" w:lineRule="auto" w:before="200" w:after="80"/>
      </w:pPr>
      <w:r>
        <w:rPr>
          <w:rFonts w:ascii="黑体" w:hAnsi="黑体" w:eastAsia="黑体"/>
          <w:b/>
          <w:sz w:val="32"/>
        </w:rPr>
        <w:t>十七、权威实践检索结果及其边界</w:t>
      </w:r>
    </w:p>
    <w:p>
      <w:pPr>
        <w:spacing w:line="360" w:lineRule="auto" w:before="0" w:after="0"/>
        <w:ind w:hanging="340" w:left="680"/>
      </w:pPr>
      <w:r>
        <w:rPr>
          <w:rFonts w:ascii="仿宋" w:hAnsi="仿宋" w:eastAsia="仿宋"/>
          <w:b w:val="0"/>
          <w:sz w:val="30"/>
        </w:rPr>
        <w:t>1. 最高人民法院二审应诉通知书示范样式要求，需要委托代理人参加二审的，应向二审法院提交授权委托书，反映二审法院通常会重新核验代理手续。</w:t>
      </w:r>
      <w:hyperlink r:id="rId20">
        <w:r>
          <w:rPr>
            <w:rFonts w:eastAsia="仿宋" w:ascii="仿宋" w:hAnsi="仿宋"/>
            <w:color w:val="1F4E79"/>
            <w:u w:val="single"/>
            <w:sz w:val="30"/>
          </w:rPr>
          <w:t>最高人民法院：二审应诉通知书样式</w:t>
        </w:r>
      </w:hyperlink>
    </w:p>
    <w:p>
      <w:pPr>
        <w:spacing w:line="360" w:lineRule="auto" w:before="0" w:after="0"/>
        <w:ind w:hanging="340" w:left="680"/>
      </w:pPr>
      <w:r>
        <w:rPr>
          <w:rFonts w:ascii="仿宋" w:hAnsi="仿宋" w:eastAsia="仿宋"/>
          <w:b w:val="0"/>
          <w:sz w:val="30"/>
        </w:rPr>
        <w:t>2. 最高人民法院电子诉讼答复确认，可以对授权委托书采取电话核实；无法核实或材料关键时，可要求原件。</w:t>
      </w:r>
      <w:hyperlink r:id="rId16">
        <w:r>
          <w:rPr>
            <w:rFonts w:eastAsia="仿宋" w:ascii="仿宋" w:hAnsi="仿宋"/>
            <w:color w:val="1F4E79"/>
            <w:u w:val="single"/>
            <w:sz w:val="30"/>
          </w:rPr>
          <w:t>最高人民法院：电子诉讼相关问题答复</w:t>
        </w:r>
      </w:hyperlink>
    </w:p>
    <w:p>
      <w:pPr>
        <w:spacing w:line="360" w:lineRule="auto" w:before="0" w:after="0"/>
        <w:ind w:hanging="340" w:left="680"/>
      </w:pPr>
      <w:r>
        <w:rPr>
          <w:rFonts w:ascii="仿宋" w:hAnsi="仿宋" w:eastAsia="仿宋"/>
          <w:b w:val="0"/>
          <w:sz w:val="30"/>
        </w:rPr>
        <w:t>3. 《人民法院在线运行规则》明确当事人可在线提交案件材料、参加视频庭审和在线笔录签名。</w:t>
      </w:r>
      <w:hyperlink r:id="rId21">
        <w:r>
          <w:rPr>
            <w:rFonts w:eastAsia="仿宋" w:ascii="仿宋" w:hAnsi="仿宋"/>
            <w:color w:val="1F4E79"/>
            <w:u w:val="single"/>
            <w:sz w:val="30"/>
          </w:rPr>
          <w:t>最高人民法院：人民法院在线运行规则</w:t>
        </w:r>
      </w:hyperlink>
    </w:p>
    <w:p>
      <w:pPr>
        <w:spacing w:line="360" w:lineRule="auto" w:before="0" w:after="0"/>
        <w:ind w:hanging="340" w:left="680"/>
      </w:pPr>
      <w:r>
        <w:rPr>
          <w:rFonts w:ascii="仿宋" w:hAnsi="仿宋" w:eastAsia="仿宋"/>
          <w:b w:val="0"/>
          <w:sz w:val="30"/>
        </w:rPr>
        <w:t xml:space="preserve">4. </w:t>
      </w:r>
      <w:r>
        <w:rPr>
          <w:rFonts w:ascii="仿宋" w:hAnsi="仿宋" w:eastAsia="仿宋"/>
          <w:b/>
          <w:sz w:val="30"/>
        </w:rPr>
        <w:t>截至2026年7月19日，未检索到最高人民法院或权威法院官网公开的、带有法院名称、案号和原始裁判链接，并直接裁判“写有代为提起上诉但受文法院为一审法院的授权书，是否当然延续整个行政二审”的案例。</w:t>
      </w:r>
      <w:r>
        <w:rPr>
          <w:rFonts w:ascii="仿宋" w:hAnsi="仿宋" w:eastAsia="仿宋"/>
          <w:b w:val="0"/>
          <w:sz w:val="30"/>
        </w:rPr>
        <w:t>因此，本报告没有编造案例或虚构统一裁判口径。</w:t>
      </w:r>
    </w:p>
    <w:p>
      <w:pPr>
        <w:spacing w:line="312" w:lineRule="auto" w:before="80" w:after="80"/>
        <w:ind w:left="397" w:right="227"/>
        <w:pBdr>
          <w:left w:val="single" w:sz="18" w:space="8" w:color="9E2A2B"/>
        </w:pBdr>
      </w:pPr>
      <w:r>
        <w:rPr>
          <w:rFonts w:ascii="仿宋" w:hAnsi="仿宋" w:eastAsia="仿宋"/>
          <w:b/>
          <w:color w:val="C00000"/>
          <w:sz w:val="24"/>
        </w:rPr>
        <w:t>【批注】案例检索结论：未找到直接、权威、带原始裁判链接的同题案例，不能编造统一口径。</w:t>
      </w:r>
    </w:p>
    <w:p>
      <w:pPr>
        <w:spacing w:line="360" w:lineRule="auto" w:before="0" w:after="0"/>
        <w:ind w:hanging="340" w:left="680"/>
      </w:pPr>
      <w:r>
        <w:rPr>
          <w:rFonts w:ascii="仿宋" w:hAnsi="仿宋" w:eastAsia="仿宋"/>
          <w:b w:val="0"/>
          <w:sz w:val="30"/>
        </w:rPr>
        <w:t>5. 同样未检索到全国统一的普通国内行政案件规则，规定所有法院都必须接受“扫描件先交、原件庭后补”。在线诉讼规则提供制度基础，但具体接受时间和补原件要求仍须承办法官确认。</w:t>
      </w:r>
    </w:p>
    <w:p>
      <w:pPr>
        <w:keepNext/>
        <w:spacing w:line="360" w:lineRule="auto" w:before="200" w:after="80"/>
      </w:pPr>
      <w:r>
        <w:rPr>
          <w:rFonts w:ascii="黑体" w:hAnsi="黑体" w:eastAsia="黑体"/>
          <w:b/>
          <w:sz w:val="32"/>
        </w:rPr>
        <w:t>十八、官方法源索引</w:t>
      </w:r>
    </w:p>
    <w:p>
      <w:pPr>
        <w:spacing w:line="360" w:lineRule="auto" w:before="0" w:after="0"/>
        <w:ind w:hanging="312" w:left="629"/>
      </w:pPr>
      <w:r>
        <w:rPr>
          <w:rFonts w:ascii="仿宋" w:hAnsi="仿宋" w:eastAsia="仿宋"/>
          <w:b w:val="0"/>
          <w:sz w:val="30"/>
        </w:rPr>
        <w:t xml:space="preserve">• </w:t>
      </w:r>
      <w:hyperlink r:id="rId18">
        <w:r>
          <w:rPr>
            <w:rFonts w:eastAsia="仿宋" w:ascii="仿宋" w:hAnsi="仿宋"/>
            <w:color w:val="1F4E79"/>
            <w:u w:val="single"/>
            <w:sz w:val="30"/>
          </w:rPr>
          <w:t>《中华人民共和国行政诉讼法》｜国家市场监督管理总局</w:t>
        </w:r>
      </w:hyperlink>
    </w:p>
    <w:p>
      <w:pPr>
        <w:spacing w:line="360" w:lineRule="auto" w:before="0" w:after="0"/>
        <w:ind w:hanging="312" w:left="629"/>
      </w:pPr>
      <w:r>
        <w:rPr>
          <w:rFonts w:ascii="仿宋" w:hAnsi="仿宋" w:eastAsia="仿宋"/>
          <w:b w:val="0"/>
          <w:sz w:val="30"/>
        </w:rPr>
        <w:t xml:space="preserve">• </w:t>
      </w:r>
      <w:hyperlink r:id="rId11">
        <w:r>
          <w:rPr>
            <w:rFonts w:eastAsia="仿宋" w:ascii="仿宋" w:hAnsi="仿宋"/>
            <w:color w:val="1F4E79"/>
            <w:u w:val="single"/>
            <w:sz w:val="30"/>
          </w:rPr>
          <w:t>《最高人民法院关于适用〈中华人民共和国行政诉讼法〉的解释》｜最高人民法院公报</w:t>
        </w:r>
      </w:hyperlink>
    </w:p>
    <w:p>
      <w:pPr>
        <w:spacing w:line="360" w:lineRule="auto" w:before="0" w:after="0"/>
        <w:ind w:hanging="312" w:left="629"/>
      </w:pPr>
      <w:r>
        <w:rPr>
          <w:rFonts w:ascii="仿宋" w:hAnsi="仿宋" w:eastAsia="仿宋"/>
          <w:b w:val="0"/>
          <w:sz w:val="30"/>
        </w:rPr>
        <w:t xml:space="preserve">• </w:t>
      </w:r>
      <w:hyperlink r:id="rId13">
        <w:r>
          <w:rPr>
            <w:rFonts w:eastAsia="仿宋" w:ascii="仿宋" w:hAnsi="仿宋"/>
            <w:color w:val="1F4E79"/>
            <w:u w:val="single"/>
            <w:sz w:val="30"/>
          </w:rPr>
          <w:t>《中华人民共和国民法典》｜最高人民法院公报</w:t>
        </w:r>
      </w:hyperlink>
    </w:p>
    <w:p>
      <w:pPr>
        <w:spacing w:line="360" w:lineRule="auto" w:before="0" w:after="0"/>
        <w:ind w:hanging="312" w:left="629"/>
      </w:pPr>
      <w:r>
        <w:rPr>
          <w:rFonts w:ascii="仿宋" w:hAnsi="仿宋" w:eastAsia="仿宋"/>
          <w:b w:val="0"/>
          <w:sz w:val="30"/>
        </w:rPr>
        <w:t xml:space="preserve">• </w:t>
      </w:r>
      <w:hyperlink r:id="rId14">
        <w:r>
          <w:rPr>
            <w:rFonts w:eastAsia="仿宋" w:ascii="仿宋" w:hAnsi="仿宋"/>
            <w:color w:val="1F4E79"/>
            <w:u w:val="single"/>
            <w:sz w:val="30"/>
          </w:rPr>
          <w:t>《人民法院在线诉讼规则》｜最高人民法院公报</w:t>
        </w:r>
      </w:hyperlink>
    </w:p>
    <w:p>
      <w:pPr>
        <w:spacing w:line="360" w:lineRule="auto" w:before="0" w:after="0"/>
        <w:ind w:hanging="312" w:left="629"/>
      </w:pPr>
      <w:r>
        <w:rPr>
          <w:rFonts w:ascii="仿宋" w:hAnsi="仿宋" w:eastAsia="仿宋"/>
          <w:b w:val="0"/>
          <w:sz w:val="30"/>
        </w:rPr>
        <w:t xml:space="preserve">• </w:t>
      </w:r>
      <w:hyperlink r:id="rId21">
        <w:r>
          <w:rPr>
            <w:rFonts w:eastAsia="仿宋" w:ascii="仿宋" w:hAnsi="仿宋"/>
            <w:color w:val="1F4E79"/>
            <w:u w:val="single"/>
            <w:sz w:val="30"/>
          </w:rPr>
          <w:t>《人民法院在线运行规则》｜最高人民法院</w:t>
        </w:r>
      </w:hyperlink>
    </w:p>
    <w:p>
      <w:pPr>
        <w:spacing w:line="360" w:lineRule="auto" w:before="0" w:after="0"/>
        <w:ind w:hanging="312" w:left="629"/>
      </w:pPr>
      <w:r>
        <w:rPr>
          <w:rFonts w:ascii="仿宋" w:hAnsi="仿宋" w:eastAsia="仿宋"/>
          <w:b w:val="0"/>
          <w:sz w:val="30"/>
        </w:rPr>
        <w:t xml:space="preserve">• </w:t>
      </w:r>
      <w:hyperlink r:id="rId15">
        <w:r>
          <w:rPr>
            <w:rFonts w:eastAsia="仿宋" w:ascii="仿宋" w:hAnsi="仿宋"/>
            <w:color w:val="1F4E79"/>
            <w:u w:val="single"/>
            <w:sz w:val="30"/>
          </w:rPr>
          <w:t>《中华人民共和国电子签名法》｜中国人大网</w:t>
        </w:r>
      </w:hyperlink>
    </w:p>
    <w:p>
      <w:pPr>
        <w:spacing w:line="360" w:lineRule="auto" w:before="0" w:after="0"/>
        <w:ind w:hanging="312" w:left="629"/>
      </w:pPr>
      <w:r>
        <w:rPr>
          <w:rFonts w:ascii="仿宋" w:hAnsi="仿宋" w:eastAsia="仿宋"/>
          <w:b w:val="0"/>
          <w:sz w:val="30"/>
        </w:rPr>
        <w:t xml:space="preserve">• </w:t>
      </w:r>
      <w:hyperlink r:id="rId12">
        <w:r>
          <w:rPr>
            <w:rFonts w:eastAsia="仿宋" w:ascii="仿宋" w:hAnsi="仿宋"/>
            <w:color w:val="1F4E79"/>
            <w:u w:val="single"/>
            <w:sz w:val="30"/>
          </w:rPr>
          <w:t>授权委托书（公民个人用）｜最高人民法院诉讼文书样式</w:t>
        </w:r>
      </w:hyperlink>
    </w:p>
    <w:p>
      <w:pPr>
        <w:spacing w:line="360" w:lineRule="auto" w:before="0" w:after="0"/>
        <w:ind w:hanging="312" w:left="629"/>
      </w:pPr>
      <w:r>
        <w:rPr>
          <w:rFonts w:ascii="仿宋" w:hAnsi="仿宋" w:eastAsia="仿宋"/>
          <w:b w:val="0"/>
          <w:sz w:val="30"/>
        </w:rPr>
        <w:t xml:space="preserve">• </w:t>
      </w:r>
      <w:hyperlink r:id="rId17">
        <w:r>
          <w:rPr>
            <w:rFonts w:eastAsia="仿宋" w:ascii="仿宋" w:hAnsi="仿宋"/>
            <w:color w:val="1F4E79"/>
            <w:u w:val="single"/>
            <w:sz w:val="30"/>
          </w:rPr>
          <w:t>行政上诉状范本及说明｜最高人民法院</w:t>
        </w:r>
      </w:hyperlink>
    </w:p>
    <w:p>
      <w:pPr>
        <w:spacing w:line="360" w:lineRule="auto" w:before="0" w:after="0"/>
        <w:ind w:hanging="312" w:left="629"/>
      </w:pPr>
      <w:r>
        <w:rPr>
          <w:rFonts w:ascii="仿宋" w:hAnsi="仿宋" w:eastAsia="仿宋"/>
          <w:b w:val="0"/>
          <w:sz w:val="30"/>
        </w:rPr>
        <w:t xml:space="preserve">• </w:t>
      </w:r>
      <w:hyperlink r:id="rId20">
        <w:r>
          <w:rPr>
            <w:rFonts w:eastAsia="仿宋" w:ascii="仿宋" w:hAnsi="仿宋"/>
            <w:color w:val="1F4E79"/>
            <w:u w:val="single"/>
            <w:sz w:val="30"/>
          </w:rPr>
          <w:t>二审应诉通知书样式｜最高人民法院</w:t>
        </w:r>
      </w:hyperlink>
    </w:p>
    <w:p>
      <w:pPr>
        <w:spacing w:line="360" w:lineRule="auto" w:before="0" w:after="0"/>
        <w:ind w:hanging="312" w:left="629"/>
      </w:pPr>
      <w:r>
        <w:rPr>
          <w:rFonts w:ascii="仿宋" w:hAnsi="仿宋" w:eastAsia="仿宋"/>
          <w:b w:val="0"/>
          <w:sz w:val="30"/>
        </w:rPr>
        <w:t xml:space="preserve">• </w:t>
      </w:r>
      <w:hyperlink r:id="rId16">
        <w:r>
          <w:rPr>
            <w:rFonts w:eastAsia="仿宋" w:ascii="仿宋" w:hAnsi="仿宋"/>
            <w:color w:val="1F4E79"/>
            <w:u w:val="single"/>
            <w:sz w:val="30"/>
          </w:rPr>
          <w:t>电子诉讼相关问题答复｜最高人民法院</w:t>
        </w:r>
      </w:hyperlink>
    </w:p>
    <w:p>
      <w:pPr>
        <w:keepNext/>
        <w:spacing w:line="360" w:lineRule="auto" w:before="200" w:after="80"/>
      </w:pPr>
      <w:r>
        <w:rPr>
          <w:rFonts w:ascii="黑体" w:hAnsi="黑体" w:eastAsia="黑体"/>
          <w:b/>
          <w:sz w:val="32"/>
        </w:rPr>
        <w:t>十九、使用提醒</w:t>
      </w:r>
    </w:p>
    <w:p>
      <w:pPr>
        <w:spacing w:line="360" w:lineRule="auto" w:before="0" w:after="0"/>
        <w:ind w:firstLine="629"/>
      </w:pPr>
      <w:r>
        <w:rPr>
          <w:rFonts w:ascii="仿宋" w:hAnsi="仿宋" w:eastAsia="仿宋"/>
          <w:b w:val="0"/>
          <w:sz w:val="30"/>
        </w:rPr>
        <w:t>本报告解决的是代理授权和出庭程序，不替代二审实体代理意见。真正提交前，最关键的动作不是继续争论旧授权理论上是否延续，而是：</w:t>
      </w:r>
      <w:r>
        <w:rPr>
          <w:rFonts w:ascii="仿宋" w:hAnsi="仿宋" w:eastAsia="仿宋"/>
          <w:b/>
          <w:sz w:val="30"/>
        </w:rPr>
        <w:t>今天就让黄敏亲笔签名并寄出原件，同时让书记员明确回复可否扫描件先交、原件后补。</w:t>
      </w:r>
      <w:r>
        <w:rPr>
          <w:rFonts w:ascii="仿宋" w:hAnsi="仿宋" w:eastAsia="仿宋"/>
          <w:b w:val="0"/>
          <w:sz w:val="30"/>
        </w:rPr>
        <w:t>这一步成本最低，能消除绝大多数程序风险。</w:t>
      </w:r>
    </w:p>
    <w:sectPr w:rsidR="00FC693F" w:rsidRPr="0006063C" w:rsidSect="00034616">
      <w:headerReference w:type="default" r:id="rId9"/>
      <w:footerReference w:type="default" r:id="rId10"/>
      <w:pgSz w:w="11906" w:h="16838"/>
      <w:pgMar w:top="1587" w:right="1587" w:bottom="1417" w:left="1701" w:header="850" w:footer="85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仿宋" w:hAnsi="仿宋" w:eastAsia="仿宋"/>
        <w:b w:val="0"/>
        <w:sz w:val="21"/>
      </w:rPr>
      <w:t xml:space="preserve">第 </w:t>
    </w:r>
    <w:r>
      <w:rPr>
        <w:rFonts w:ascii="仿宋" w:hAnsi="仿宋" w:eastAsia="仿宋"/>
        <w:b w:val="0"/>
        <w:sz w:val="21"/>
      </w:rPr>
      <w:fldChar w:fldCharType="begin"/>
      <w:instrText xml:space="preserve">PAGE</w:instrText>
      <w:fldChar w:fldCharType="separate"/>
      <w:t>1</w:t>
      <w:fldChar w:fldCharType="end"/>
    </w:r>
    <w:r>
      <w:rPr>
        <w:rFonts w:ascii="仿宋" w:hAnsi="仿宋" w:eastAsia="仿宋"/>
        <w:b w:val="0"/>
        <w:sz w:val="21"/>
      </w:rPr>
      <w:t xml:space="preserve"> 页</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仿宋" w:hAnsi="仿宋" w:eastAsia="仿宋"/>
        <w:b w:val="0"/>
        <w:color w:val="777777"/>
        <w:sz w:val="18"/>
      </w:rPr>
      <w:t>黄敏行政诉讼二审代理授权效力专项分析（批注审阅版）</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0"/>
    </w:pPr>
    <w:rPr>
      <w:rFonts w:ascii="仿宋" w:hAnsi="仿宋" w:eastAsia="仿宋"/>
      <w:sz w:val="3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gongbao.court.gov.cn/details/ff963094d7a6d678980d4972b5961e.html" TargetMode="External"/><Relationship Id="rId12" Type="http://schemas.openxmlformats.org/officeDocument/2006/relationships/hyperlink" Target="https://www.court.gov.cn/susongyangshi/xiangqing/758.html" TargetMode="External"/><Relationship Id="rId13" Type="http://schemas.openxmlformats.org/officeDocument/2006/relationships/hyperlink" Target="https://gongbao.court.gov.cn/Details/51eb6750b8361f79be8f90d09bc202.html" TargetMode="External"/><Relationship Id="rId14" Type="http://schemas.openxmlformats.org/officeDocument/2006/relationships/hyperlink" Target="https://gongbao.court.gov.cn/Details/ac5f36e345967c22e0a2ac4fbeb0a6.html" TargetMode="External"/><Relationship Id="rId15" Type="http://schemas.openxmlformats.org/officeDocument/2006/relationships/hyperlink" Target="https://www.npc.gov.cn/zgrdw/npc/xinwen/2019-05/07/content_2086835.htm" TargetMode="External"/><Relationship Id="rId16" Type="http://schemas.openxmlformats.org/officeDocument/2006/relationships/hyperlink" Target="https://www.court.gov.cn/fabu/xiangqing/226071.html" TargetMode="External"/><Relationship Id="rId17" Type="http://schemas.openxmlformats.org/officeDocument/2006/relationships/hyperlink" Target="https://www.court.gov.cn/fuwu/xiangqing/78592.html" TargetMode="External"/><Relationship Id="rId18" Type="http://schemas.openxmlformats.org/officeDocument/2006/relationships/hyperlink" Target="https://www.samr.gov.cn/zw/zfxxgk/fdzdgknr/bgt/art/2025/art_ba3b20d736d14aeeb1ace665f0f51a21.html" TargetMode="External"/><Relationship Id="rId19" Type="http://schemas.openxmlformats.org/officeDocument/2006/relationships/hyperlink" Target="https://ipc.court.gov.cn/zh-cn/news/view-397.html" TargetMode="External"/><Relationship Id="rId20" Type="http://schemas.openxmlformats.org/officeDocument/2006/relationships/hyperlink" Target="https://www.court.gov.cn/susongyangshi/xiangqing/117.html" TargetMode="External"/><Relationship Id="rId21" Type="http://schemas.openxmlformats.org/officeDocument/2006/relationships/hyperlink" Target="https://www.court.gov.cn/zixun/xiangqing/34647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黄敏行政诉讼二审代理授权效力专项分析（批注审阅版）</dc:title>
  <dc:subject>砚瓦池行政二审代理授权</dc:subject>
  <dc:creator>Codex 法律材料整理</dc:creator>
  <cp:keywords>行政诉讼, 二审, 授权委托书, 黄敏, 熊玲翠</cp:keywords>
  <dc:description>generated by python-docx</dc:description>
  <cp:lastModifiedBy/>
  <cp:revision>1</cp:revision>
  <dcterms:created xsi:type="dcterms:W3CDTF">2013-12-23T23:15:00Z</dcterms:created>
  <dcterms:modified xsi:type="dcterms:W3CDTF">2013-12-23T23:15:00Z</dcterms:modified>
  <cp:category/>
</cp:coreProperties>
</file>