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left"/>
      </w:pPr>
      <w:r>
        <w:rPr>
          <w:rFonts w:ascii="Source Han Sans SC" w:hAnsi="Source Han Sans SC" w:eastAsia="Source Han Sans SC"/>
          <w:b/>
          <w:color w:val="A97732"/>
          <w:sz w:val="20"/>
        </w:rPr>
        <w:t>专题研究</w:t>
      </w:r>
    </w:p>
    <w:p>
      <w:pPr>
        <w:spacing w:before="400" w:after="360"/>
      </w:pPr>
      <w:r>
        <w:rPr>
          <w:rFonts w:ascii="TsangerJinKai02" w:hAnsi="TsangerJinKai02" w:eastAsia="TsangerJinKai02"/>
          <w:b/>
          <w:color w:val="1B365D"/>
          <w:sz w:val="54"/>
        </w:rPr>
        <w:t>长沙城市更新政策对本案影响专题分析</w:t>
      </w:r>
    </w:p>
    <w:p>
      <w:pPr>
        <w:spacing w:after="800"/>
      </w:pPr>
      <w:r>
        <w:rPr>
          <w:rFonts w:ascii="Source Han Sans SC" w:hAnsi="Source Han Sans SC" w:eastAsia="Source Han Sans SC"/>
          <w:b w:val="0"/>
          <w:color w:val="284F76"/>
          <w:sz w:val="24"/>
        </w:rPr>
        <w:t>政策原文 · 法律边界 · 案件影响</w:t>
      </w:r>
    </w:p>
    <w:tbl>
      <w:tblPr>
        <w:tblW w:type="auto" w:w="0"/>
        <w:jc w:val="left"/>
        <w:tblLayout w:type="fixed"/>
        <w:tblLook w:firstColumn="1" w:firstRow="1" w:lastColumn="0" w:lastRow="0" w:noHBand="0" w:noVBand="1" w:val="04A0"/>
      </w:tblPr>
      <w:tblGrid>
        <w:gridCol w:w="8787"/>
      </w:tblGrid>
      <w:tr>
        <w:tc>
          <w:tcPr>
            <w:tcW w:type="dxa" w:w="9752"/>
            <w:shd w:fill="1B365D"/>
            <w:tcMar>
              <w:top w:w="180" w:type="dxa"/>
              <w:start w:w="220" w:type="dxa"/>
              <w:bottom w:w="180" w:type="dxa"/>
              <w:end w:w="220" w:type="dxa"/>
            </w:tcMar>
          </w:tcPr>
          <w:p>
            <w:pPr>
              <w:spacing w:after="40"/>
            </w:pPr>
            <w:r>
              <w:rPr>
                <w:rFonts w:ascii="Source Han Sans SC" w:hAnsi="Source Han Sans SC" w:eastAsia="Source Han Sans SC"/>
                <w:b/>
                <w:color w:val="FFFFFF"/>
                <w:sz w:val="22"/>
              </w:rPr>
              <w:t>李运芳诉长沙科棚潮宗街商业管理有限公司</w:t>
            </w:r>
          </w:p>
          <w:p>
            <w:pPr>
              <w:spacing w:after="40"/>
            </w:pPr>
            <w:r>
              <w:rPr>
                <w:rFonts w:ascii="Source Han Sans SC" w:hAnsi="Source Han Sans SC" w:eastAsia="Source Han Sans SC"/>
                <w:b w:val="0"/>
                <w:color w:val="FFFFFF"/>
                <w:sz w:val="20"/>
              </w:rPr>
              <w:t>排除妨害纠纷 · 楠木厅巷12号东301房及所在楼栋</w:t>
            </w:r>
          </w:p>
        </w:tc>
      </w:tr>
    </w:tbl>
    <w:p>
      <w:pPr>
        <w:spacing w:before="1600"/>
      </w:pPr>
      <w:r>
        <w:rPr>
          <w:rFonts w:ascii="Source Han Sans SC" w:hAnsi="Source Han Sans SC" w:eastAsia="Source Han Sans SC"/>
          <w:b/>
          <w:color w:val="66717B"/>
          <w:sz w:val="18"/>
        </w:rPr>
        <w:t>研究基准日</w:t>
      </w:r>
      <w:r>
        <w:br/>
      </w:r>
      <w:r>
        <w:rPr>
          <w:rFonts w:ascii="TsangerJinKai02" w:hAnsi="TsangerJinKai02" w:eastAsia="TsangerJinKai02"/>
          <w:b/>
          <w:color w:val="1B365D"/>
          <w:sz w:val="28"/>
        </w:rPr>
        <w:t>2026年8月13日</w:t>
      </w:r>
    </w:p>
    <w:p>
      <w:pPr>
        <w:spacing w:before="280"/>
      </w:pPr>
      <w:r>
        <w:rPr>
          <w:rFonts w:ascii="Source Han Sans SC" w:hAnsi="Source Han Sans SC" w:eastAsia="Source Han Sans SC"/>
          <w:b w:val="0"/>
          <w:color w:val="66717B"/>
          <w:sz w:val="17"/>
        </w:rPr>
        <w:t>文件定位：诉讼策略研究 · 非鉴定意见 · 非个案裁判结论</w:t>
      </w:r>
    </w:p>
    <w:p>
      <w:r>
        <w:br w:type="page"/>
      </w:r>
    </w:p>
    <w:p>
      <w:pPr>
        <w:pStyle w:val="Heading1"/>
      </w:pPr>
      <w:r>
        <w:rPr>
          <w:rFonts w:ascii="TsangerJinKai02" w:hAnsi="TsangerJinKai02" w:eastAsia="TsangerJinKai02"/>
          <w:b/>
          <w:color w:val="1B365D"/>
          <w:sz w:val="36"/>
        </w:rPr>
        <w:t>李运芳诉长沙科棚潮宗街商业管理有限公司排除妨害纠纷案</w:t>
      </w:r>
    </w:p>
    <w:p>
      <w:r>
        <w:rPr>
          <w:rFonts w:ascii="Source Han Sans SC" w:hAnsi="Source Han Sans SC" w:eastAsia="Source Han Sans SC"/>
          <w:b/>
          <w:color w:val="284F76"/>
          <w:sz w:val="19"/>
        </w:rPr>
        <w:t>研究基准日：2026年8月13日</w:t>
      </w:r>
    </w:p>
    <w:p>
      <w:r>
        <w:rPr>
          <w:rFonts w:ascii="Source Han Sans SC" w:hAnsi="Source Han Sans SC" w:eastAsia="Source Han Sans SC"/>
          <w:b/>
          <w:color w:val="284F76"/>
          <w:sz w:val="19"/>
        </w:rPr>
        <w:t>涉案房屋：长沙市开福区楠木厅巷12号东301房及所在楼栋</w:t>
      </w:r>
    </w:p>
    <w:p>
      <w:r>
        <w:rPr>
          <w:rFonts w:ascii="Source Han Sans SC" w:hAnsi="Source Han Sans SC" w:eastAsia="Source Han Sans SC"/>
          <w:b/>
          <w:color w:val="284F76"/>
          <w:sz w:val="19"/>
        </w:rPr>
        <w:t>说明：本报告以项目内现有诉讼材料、鉴定报告、裁判文书和截至基准日可核验的官方政策为限。对尚未取得的项目清单、合同、委托文件及“一屋一策”方案，只提出调查方向，不作事实认定。</w:t>
      </w:r>
    </w:p>
    <w:p>
      <w:pPr>
        <w:pStyle w:val="Heading1"/>
      </w:pPr>
      <w:r>
        <w:rPr>
          <w:rFonts w:ascii="TsangerJinKai02" w:hAnsi="TsangerJinKai02" w:eastAsia="TsangerJinKai02"/>
          <w:b/>
          <w:color w:val="1B365D"/>
          <w:sz w:val="36"/>
        </w:rPr>
        <w:t>一、结论先行</w:t>
      </w:r>
    </w:p>
    <w:p>
      <w:pPr>
        <w:pStyle w:val="Heading2"/>
      </w:pPr>
      <w:r>
        <w:rPr>
          <w:rFonts w:ascii="TsangerJinKai02" w:hAnsi="TsangerJinKai02" w:eastAsia="TsangerJinKai02"/>
          <w:b/>
          <w:color w:val="1B365D"/>
          <w:sz w:val="28"/>
        </w:rPr>
        <w:t>1. 新政策没有改变案件性质</w:t>
      </w:r>
    </w:p>
    <w:p>
      <w:r>
        <w:rPr>
          <w:rFonts w:ascii="Source Han Serif SC" w:hAnsi="Source Han Serif SC" w:eastAsia="Source Han Serif SC"/>
          <w:b w:val="0"/>
          <w:color w:val="242A30"/>
          <w:sz w:val="21"/>
        </w:rPr>
        <w:t>本案仍首先是以物权保护为基础的</w:t>
      </w:r>
      <w:r>
        <w:rPr>
          <w:rFonts w:ascii="Source Han Serif SC" w:hAnsi="Source Han Serif SC" w:eastAsia="Source Han Serif SC"/>
          <w:b/>
          <w:color w:val="1B365D"/>
          <w:sz w:val="21"/>
        </w:rPr>
        <w:t>排除妨害纠纷</w:t>
      </w:r>
      <w:r>
        <w:rPr>
          <w:rFonts w:ascii="Source Han Serif SC" w:hAnsi="Source Han Serif SC" w:eastAsia="Source Han Serif SC"/>
          <w:b w:val="0"/>
          <w:color w:val="242A30"/>
          <w:sz w:val="21"/>
        </w:rPr>
        <w:t>。人民法院要审查的是：原告是否享有合法物权，被告是否实施或控制了侵入、钻孔、围挡、堵塞排水、堆放垃圾、妨碍通行等行为，该行为是否构成现实妨害或造成损害，以及应由谁承担停止侵害、排除妨害、修复损坏、恢复具体功能等民事责任。</w:t>
      </w:r>
    </w:p>
    <w:p>
      <w:r>
        <w:rPr>
          <w:rFonts w:ascii="Source Han Serif SC" w:hAnsi="Source Han Serif SC" w:eastAsia="Source Han Serif SC"/>
          <w:b w:val="0"/>
          <w:color w:val="242A30"/>
          <w:sz w:val="21"/>
        </w:rPr>
        <w:t>本案不是要求法院制定城市更新规划的行政诉讼，也不是要求民事法官替代住建、资规、文旅、属地政府和工程实施主体决定更新方案的案件。2026年新政策的合法用途是：解释危险住房从发现到治理的现实路径；证明修缮、加固、自主更新并非原则上不可能；为“恢复安全、正常使用功能”提供现实政策背景；为调解方案、信息公开和调查取证提供线索；促使有管理、改造和履行能力的主体进入实质解决程序。</w:t>
      </w:r>
    </w:p>
    <w:p>
      <w:pPr>
        <w:pStyle w:val="Heading2"/>
      </w:pPr>
      <w:r>
        <w:rPr>
          <w:rFonts w:ascii="TsangerJinKai02" w:hAnsi="TsangerJinKai02" w:eastAsia="TsangerJinKai02"/>
          <w:b/>
          <w:color w:val="1B365D"/>
          <w:sz w:val="28"/>
        </w:rPr>
        <w:t>2. 最稳的诉讼主线</w:t>
      </w:r>
    </w:p>
    <w:p>
      <w:pPr>
        <w:pStyle w:val="PullQuote"/>
        <w:pBdr>
          <w:left w:val="single" w:sz="18" w:space="10" w:color="A97732"/>
        </w:pBdr>
      </w:pPr>
      <w:r>
        <w:rPr>
          <w:rFonts w:ascii="TsangerJinKai02" w:hAnsi="TsangerJinKai02" w:eastAsia="TsangerJinKai02"/>
          <w:b w:val="0"/>
          <w:color w:val="1B365D"/>
          <w:sz w:val="22"/>
        </w:rPr>
        <w:t>相关主体既然以房屋安全为由组织鉴定，就不能把“鉴定—围挡”当作永久终点。合法有效的鉴定发现安全问题后，依法应当进入风险防控、方案制定、维修加固、拆除重建或其他依法治理程序。长期没有治理方案、责任主体、期限和复核结果，至少是需要进一步查明的事实。</w:t>
      </w:r>
    </w:p>
    <w:p>
      <w:r>
        <w:rPr>
          <w:rFonts w:ascii="Source Han Serif SC" w:hAnsi="Source Han Serif SC" w:eastAsia="Source Han Serif SC"/>
          <w:b w:val="0"/>
          <w:color w:val="242A30"/>
          <w:sz w:val="21"/>
        </w:rPr>
        <w:t>这条主线可以用于说明妨害的持续性、围挡措施的比例性、恢复功能请求的现实必要性和调解必要性；但不能跳跃为“科棚公司当然负有原拆原建义务”。科棚是否为行为人、委托人、控制人、项目运营人或实际履行主体，必须由证据证明。楼栋性修缮、加固若指向开福棚改投既有管理改造职责，则应考虑将其纳入诉讼或至少纳入调解。</w:t>
      </w:r>
    </w:p>
    <w:p>
      <w:pPr>
        <w:pStyle w:val="Heading2"/>
      </w:pPr>
      <w:r>
        <w:rPr>
          <w:rFonts w:ascii="TsangerJinKai02" w:hAnsi="TsangerJinKai02" w:eastAsia="TsangerJinKai02"/>
          <w:b/>
          <w:color w:val="1B365D"/>
          <w:sz w:val="28"/>
        </w:rPr>
        <w:t>3. 诉请应从抽象“恢复原状”改造为可执行结果</w:t>
      </w:r>
    </w:p>
    <w:p>
      <w:r>
        <w:rPr>
          <w:rFonts w:ascii="Source Han Serif SC" w:hAnsi="Source Han Serif SC" w:eastAsia="Source Han Serif SC"/>
          <w:b w:val="0"/>
          <w:color w:val="242A30"/>
          <w:sz w:val="21"/>
        </w:rPr>
        <w:t>不建议把“判令被告恢复原状”作为单独、笼统的主请求。推荐表述为：</w:t>
      </w:r>
    </w:p>
    <w:p>
      <w:pPr>
        <w:pStyle w:val="PullQuote"/>
        <w:pBdr>
          <w:left w:val="single" w:sz="18" w:space="10" w:color="A97732"/>
        </w:pBdr>
      </w:pPr>
      <w:r>
        <w:rPr>
          <w:rFonts w:ascii="TsangerJinKai02" w:hAnsi="TsangerJinKai02" w:eastAsia="TsangerJinKai02"/>
          <w:b w:val="0"/>
          <w:color w:val="1B365D"/>
          <w:sz w:val="22"/>
        </w:rPr>
        <w:t>判令被告停止侵害、排除妨害；修复其实施或应由其负责的钻孔及其他具体损坏；在其责任及因果关系范围内清除建筑垃圾、恢复排水、恢复通行并采取经合法设计、施工和验收的必要修缮、加固措施，使涉案房屋及其必要共有部位恢复安全、正常使用功能；具体项目、范围和技术标准由审理中查明的现状勘验、因果鉴定和修复方案确定。</w:t>
      </w:r>
    </w:p>
    <w:p>
      <w:r>
        <w:rPr>
          <w:rFonts w:ascii="Source Han Serif SC" w:hAnsi="Source Han Serif SC" w:eastAsia="Source Han Serif SC"/>
          <w:b w:val="0"/>
          <w:color w:val="242A30"/>
          <w:sz w:val="21"/>
        </w:rPr>
        <w:t>法院宜主要判“法律结果＋可执行项目”，把修缮、加固、“一屋一策”、经审批的改建、符合条件时依法原拆原建作为履行路径。后四者通常需要业主决策、行政审批、历史文化保护审查、设计施工和资金安排，原则上更适合调解或行政项目实施，而不是由民事判决预先指定唯一工程方式。</w:t>
      </w:r>
    </w:p>
    <w:p>
      <w:pPr>
        <w:pStyle w:val="Heading1"/>
      </w:pPr>
      <w:r>
        <w:rPr>
          <w:rFonts w:ascii="TsangerJinKai02" w:hAnsi="TsangerJinKai02" w:eastAsia="TsangerJinKai02"/>
          <w:b/>
          <w:color w:val="1B365D"/>
          <w:sz w:val="36"/>
        </w:rPr>
        <w:t>二、政策原文核验与效力分层</w:t>
      </w:r>
    </w:p>
    <w:p>
      <w:pPr>
        <w:pStyle w:val="Heading2"/>
      </w:pPr>
      <w:r>
        <w:rPr>
          <w:rFonts w:ascii="TsangerJinKai02" w:hAnsi="TsangerJinKai02" w:eastAsia="TsangerJinKai02"/>
          <w:b/>
          <w:color w:val="1B365D"/>
          <w:sz w:val="28"/>
        </w:rPr>
        <w:t>（一）A类：法律、行政法规、地方性法规</w:t>
      </w:r>
    </w:p>
    <w:tbl>
      <w:tblPr>
        <w:tblW w:type="auto" w:w="0"/>
        <w:jc w:val="center"/>
        <w:tblLayout w:type="autofit"/>
        <w:tblLook w:firstColumn="1" w:firstRow="1" w:lastColumn="0" w:lastRow="0" w:noHBand="0" w:noVBand="1" w:val="04A0"/>
      </w:tblPr>
      <w:tblGrid>
        <w:gridCol w:w="4876"/>
        <w:gridCol w:w="4876"/>
      </w:tblGrid>
      <w:tr>
        <w:trPr>
          <w:tblHeader w:val="true"/>
        </w:trP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文件</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效力与本案意义</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《中华人民共和国民法典》第233、236、237条等</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A类。物权受妨害时请求停止侵害、排除妨害、消除危险、修理、重作、更换或恢复原状的直接规范基础。具体责任仍须证明主体、行为、因果关系和可执行内容。</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《长沙市房屋安全管理条例》</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A类地方性法规。房屋所有权人是安全责任人；发现危险应采取治理和防护措施；鉴定报告应提出处理建议；集中成片危险房屋需制定方案；历史文化区域改造、拆建受规划保护和审批约束。它支持“鉴定后应治理”，不直接证明科棚是治理义务人。</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《长沙市历史文化名城保护条例》</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A类地方性法规。历史文化街区内建设、修缮和改造必须符合保护规划并依法办理手续。</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国务院《历史文化名城名镇名村保护条例》</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A类行政法规。禁止破坏真实性、完整性，规范核心保护范围内建设、修缮、拆除等活动。</w:t>
            </w:r>
          </w:p>
        </w:tc>
      </w:tr>
    </w:tbl>
    <w:p>
      <w:pPr>
        <w:spacing w:after="40"/>
      </w:pPr>
    </w:p>
    <w:p>
      <w:pPr>
        <w:pStyle w:val="Heading2"/>
      </w:pPr>
      <w:r>
        <w:rPr>
          <w:rFonts w:ascii="TsangerJinKai02" w:hAnsi="TsangerJinKai02" w:eastAsia="TsangerJinKai02"/>
          <w:b/>
          <w:color w:val="1B365D"/>
          <w:sz w:val="28"/>
        </w:rPr>
        <w:t>（二）B类：规范性文件、政策文件</w:t>
      </w:r>
    </w:p>
    <w:tbl>
      <w:tblPr>
        <w:tblW w:type="auto" w:w="0"/>
        <w:jc w:val="center"/>
        <w:tblLayout w:type="autofit"/>
        <w:tblLook w:firstColumn="1" w:firstRow="1" w:lastColumn="0" w:lastRow="0" w:noHBand="0" w:noVBand="1" w:val="04A0"/>
      </w:tblPr>
      <w:tblGrid>
        <w:gridCol w:w="3251"/>
        <w:gridCol w:w="3251"/>
        <w:gridCol w:w="3251"/>
      </w:tblGrid>
      <w:tr>
        <w:trPr>
          <w:tblHeader w:val="true"/>
        </w:trP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文件</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核验信息</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本案作用</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《长沙市全面推进城市更新行动方案（2026—2030年）》</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长政办发〔2026〕6号；长沙市人民政府办公室印发；2026年3月26日签发，3月30日公开；2026年5月1日起施行；有效至2030年12月31日；登记号CSCR—2026—01003。</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当前长沙城市更新总框架。不能直接创设对科棚的原拆原建请求权。</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《长沙市人民政府办公厅关于进一步加快推进城镇危旧房屋改造工作的实施意见》</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长政办发〔2023〕21号；2023年6月15日印发；2023年7月1日起施行；有效期5年，至2028年6月30日；登记号CSCR—2023—01019。</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明确C、D级危旧房可按征收、维修加固、拆除重建分类处置，规定主体、计划、审批、验收和补助。</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《湖南省人民政府办公厅关于持续推进城市更新行动的实施意见》</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湘政办发〔2025〕49号；2025年12月4日印发；登记号HNPR—2025—01027；有效期5年。</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省级城市更新框架，支持先体检后更新、危旧房治理和自主更新。</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《长沙市历史文化街区保护管理办法》</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长政办发〔2026〕19号；2026年8月3日印发；2026年9月10日起施行，有效期5年。</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截至本报告基准日已发布但尚未生效。可说明即将实行的管理分工与审查程序，不能作为已生效规范倒推此前责任。</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湖南省老旧住房自主更新、原拆原建试点通知及2026年度省级城市更新专项资金申报通知</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省住建厅官方文件。</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证明自主更新、原拆原建和“一库储备、非储不报”等属于受程序和项目管理约束的政策路径。</w:t>
            </w:r>
          </w:p>
        </w:tc>
      </w:tr>
    </w:tbl>
    <w:p>
      <w:pPr>
        <w:spacing w:after="40"/>
      </w:pPr>
    </w:p>
    <w:p>
      <w:pPr>
        <w:pStyle w:val="Heading2"/>
      </w:pPr>
      <w:r>
        <w:rPr>
          <w:rFonts w:ascii="TsangerJinKai02" w:hAnsi="TsangerJinKai02" w:eastAsia="TsangerJinKai02"/>
          <w:b/>
          <w:color w:val="1B365D"/>
          <w:sz w:val="28"/>
        </w:rPr>
        <w:t>（三）C类：规划草案、政策解读、新闻稿、案例介绍、采购文件</w:t>
      </w:r>
    </w:p>
    <w:tbl>
      <w:tblPr>
        <w:tblW w:type="auto" w:w="0"/>
        <w:jc w:val="center"/>
        <w:tblLayout w:type="autofit"/>
        <w:tblLook w:firstColumn="1" w:firstRow="1" w:lastColumn="0" w:lastRow="0" w:noHBand="0" w:noVBand="1" w:val="04A0"/>
      </w:tblPr>
      <w:tblGrid>
        <w:gridCol w:w="4876"/>
        <w:gridCol w:w="4876"/>
      </w:tblGrid>
      <w:tr>
        <w:trPr>
          <w:tblHeader w:val="true"/>
        </w:trP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材料</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严格定位</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《长沙市城市更新专项规划（2026—2030年）》（公开征求意见稿）</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C类规划草案。截至2026年8月13日未检索到正式获批文本。可用于了解拟议的“无体检不更新”、危房闭环和项目库方向，不能当成已生效规划。</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湘农桥自主更新、原拆原建项目官方案例</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C类实践材料。证明长沙已有“居民主体、政府引导、市场运作”“四原”项目，但不能推导楠木厅12号当然具备同等条件。</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潮宗街保护修缮及“国企投资改造、民企专业运营、街道牵头管理”的官方报道</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C类实践材料。只能形成开福棚改投、北城资产、科棚、街道角色的调查假设，不能凭新闻直接认定主体职责。</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2026年《潮宗街片区房屋鉴定服务项目》采购文件</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C类项目事实材料。采购人为长沙市北城资产经营管理有限公司，范围约83,764.06平方米，要求报告列明问题及整改方案；公开文本没有逐栋地址清单，不能据此认定楠木厅12号已纳入。</w:t>
            </w:r>
          </w:p>
        </w:tc>
      </w:tr>
    </w:tbl>
    <w:p>
      <w:pPr>
        <w:spacing w:after="40"/>
      </w:pPr>
    </w:p>
    <w:p>
      <w:pPr>
        <w:pStyle w:val="Heading1"/>
      </w:pPr>
      <w:r>
        <w:rPr>
          <w:rFonts w:ascii="TsangerJinKai02" w:hAnsi="TsangerJinKai02" w:eastAsia="TsangerJinKai02"/>
          <w:b/>
          <w:color w:val="1B365D"/>
          <w:sz w:val="36"/>
        </w:rPr>
        <w:t>三、核心政策十项核验及其法律意义</w:t>
      </w:r>
    </w:p>
    <w:p>
      <w:pPr>
        <w:pStyle w:val="Heading2"/>
      </w:pPr>
      <w:r>
        <w:rPr>
          <w:rFonts w:ascii="TsangerJinKai02" w:hAnsi="TsangerJinKai02" w:eastAsia="TsangerJinKai02"/>
          <w:b/>
          <w:color w:val="1B365D"/>
          <w:sz w:val="28"/>
        </w:rPr>
        <w:t>1. 危险住房改造</w:t>
      </w:r>
    </w:p>
    <w:p>
      <w:r>
        <w:rPr>
          <w:rFonts w:ascii="Source Han Serif SC" w:hAnsi="Source Han Serif SC" w:eastAsia="Source Han Serif SC"/>
          <w:b w:val="0"/>
          <w:color w:val="242A30"/>
          <w:sz w:val="21"/>
        </w:rPr>
        <w:t>长政办发〔2026〕6号明确：</w:t>
      </w:r>
    </w:p>
    <w:p>
      <w:pPr>
        <w:pStyle w:val="PullQuote"/>
        <w:pBdr>
          <w:left w:val="single" w:sz="18" w:space="10" w:color="A97732"/>
        </w:pBdr>
      </w:pPr>
      <w:r>
        <w:rPr>
          <w:rFonts w:ascii="TsangerJinKai02" w:hAnsi="TsangerJinKai02" w:eastAsia="TsangerJinKai02"/>
          <w:b w:val="0"/>
          <w:color w:val="1B365D"/>
          <w:sz w:val="22"/>
        </w:rPr>
        <w:t>“健全房屋体检与安全防控体系，稳妥推进危险住房和国有企业事业单位非成套住房改造。”</w:t>
      </w:r>
    </w:p>
    <w:p>
      <w:r>
        <w:rPr>
          <w:rFonts w:ascii="Source Han Serif SC" w:hAnsi="Source Han Serif SC" w:eastAsia="Source Han Serif SC"/>
          <w:b w:val="0"/>
          <w:color w:val="242A30"/>
          <w:sz w:val="21"/>
        </w:rPr>
        <w:t>长政办发〔2023〕21号进一步规定，C、D级城镇危旧房屋可以通过“征收、维修加固、拆除重建等方式，分类处置”。政策逻辑因此不是永久停在鉴定和围挡，而是“识别风险—临时防护—选择治理方式—设计施工—验收复核—销号管理”。围挡可以是防止现实危险的临时措施，但不能替代对责任主体、治理方案和期限的说明。</w:t>
      </w:r>
    </w:p>
    <w:p>
      <w:pPr>
        <w:pStyle w:val="Heading2"/>
      </w:pPr>
      <w:r>
        <w:rPr>
          <w:rFonts w:ascii="TsangerJinKai02" w:hAnsi="TsangerJinKai02" w:eastAsia="TsangerJinKai02"/>
          <w:b/>
          <w:color w:val="1B365D"/>
          <w:sz w:val="28"/>
        </w:rPr>
        <w:t>2. 老旧住房自主更新</w:t>
      </w:r>
    </w:p>
    <w:p>
      <w:r>
        <w:rPr>
          <w:rFonts w:ascii="Source Han Serif SC" w:hAnsi="Source Han Serif SC" w:eastAsia="Source Han Serif SC"/>
          <w:b w:val="0"/>
          <w:color w:val="242A30"/>
          <w:sz w:val="21"/>
        </w:rPr>
        <w:t>长政办发〔2026〕6号明确：</w:t>
      </w:r>
    </w:p>
    <w:p>
      <w:pPr>
        <w:pStyle w:val="PullQuote"/>
        <w:pBdr>
          <w:left w:val="single" w:sz="18" w:space="10" w:color="A97732"/>
        </w:pBdr>
      </w:pPr>
      <w:r>
        <w:rPr>
          <w:rFonts w:ascii="TsangerJinKai02" w:hAnsi="TsangerJinKai02" w:eastAsia="TsangerJinKai02"/>
          <w:b w:val="0"/>
          <w:color w:val="1B365D"/>
          <w:sz w:val="22"/>
        </w:rPr>
        <w:t>“支持老旧住房自主更新、原拆原建。”</w:t>
      </w:r>
    </w:p>
    <w:p>
      <w:r>
        <w:rPr>
          <w:rFonts w:ascii="Source Han Serif SC" w:hAnsi="Source Han Serif SC" w:eastAsia="Source Han Serif SC"/>
          <w:b w:val="0"/>
          <w:color w:val="242A30"/>
          <w:sz w:val="21"/>
        </w:rPr>
        <w:t>“支持”表示政策准入和行政引导，不表示任何单个业主可以越过共同决定、规划许可、施工许可、资金筹集、历史文化保护和产权登记程序直接开工，也不表示某商业管理公司自动成为实施义务人。</w:t>
      </w:r>
    </w:p>
    <w:p>
      <w:pPr>
        <w:pStyle w:val="Heading2"/>
      </w:pPr>
      <w:r>
        <w:rPr>
          <w:rFonts w:ascii="TsangerJinKai02" w:hAnsi="TsangerJinKai02" w:eastAsia="TsangerJinKai02"/>
          <w:b/>
          <w:color w:val="1B365D"/>
          <w:sz w:val="28"/>
        </w:rPr>
        <w:t>3. 原拆原建</w:t>
      </w:r>
    </w:p>
    <w:p>
      <w:r>
        <w:rPr>
          <w:rFonts w:ascii="Source Han Serif SC" w:hAnsi="Source Han Serif SC" w:eastAsia="Source Han Serif SC"/>
          <w:b w:val="0"/>
          <w:color w:val="242A30"/>
          <w:sz w:val="21"/>
        </w:rPr>
        <w:t>原拆原建是可选择的治理路径，不是当然的民事责任形式。长政办发〔2023〕21号对不具备近期征收条件、符合国土空间规划的零星危房，提出按原址、原面积、原高度、原用途的“四原”原则拆除重建，并允许依法完善必要功能。湘农桥案例又显示，现实实施包括业主一致或法定决策、出资、项目方案、设计、审批、施工、验收和登记等环节。</w:t>
      </w:r>
    </w:p>
    <w:p>
      <w:r>
        <w:rPr>
          <w:rFonts w:ascii="Source Han Serif SC" w:hAnsi="Source Han Serif SC" w:eastAsia="Source Han Serif SC"/>
          <w:b w:val="0"/>
          <w:color w:val="242A30"/>
          <w:sz w:val="21"/>
        </w:rPr>
        <w:t>对楠木厅12号而言，还叠加历史文化街区保护。法院不能仅凭政策支持就判令科棚实施原拆原建。除非各方在调解中对主体、费用、权属、过渡、审批、保护条件和违约责任作出完整、合法、可履行约定，否则该诉求明显过度。</w:t>
      </w:r>
    </w:p>
    <w:p>
      <w:pPr>
        <w:pStyle w:val="Heading2"/>
      </w:pPr>
      <w:r>
        <w:rPr>
          <w:rFonts w:ascii="TsangerJinKai02" w:hAnsi="TsangerJinKai02" w:eastAsia="TsangerJinKai02"/>
          <w:b/>
          <w:color w:val="1B365D"/>
          <w:sz w:val="28"/>
        </w:rPr>
        <w:t>4. 潮宗街被明确点名</w:t>
      </w:r>
    </w:p>
    <w:p>
      <w:r>
        <w:rPr>
          <w:rFonts w:ascii="Source Han Serif SC" w:hAnsi="Source Han Serif SC" w:eastAsia="Source Han Serif SC"/>
          <w:b w:val="0"/>
          <w:color w:val="242A30"/>
          <w:sz w:val="21"/>
        </w:rPr>
        <w:t>长政办发〔2026〕6号规定：</w:t>
      </w:r>
    </w:p>
    <w:p>
      <w:pPr>
        <w:pStyle w:val="PullQuote"/>
        <w:pBdr>
          <w:left w:val="single" w:sz="18" w:space="10" w:color="A97732"/>
        </w:pBdr>
      </w:pPr>
      <w:r>
        <w:rPr>
          <w:rFonts w:ascii="TsangerJinKai02" w:hAnsi="TsangerJinKai02" w:eastAsia="TsangerJinKai02"/>
          <w:b w:val="0"/>
          <w:color w:val="1B365D"/>
          <w:sz w:val="22"/>
        </w:rPr>
        <w:t>“持续推进太平街、西文庙坪、潮宗街等历史文化街区……保护修缮与活化利用。”</w:t>
      </w:r>
    </w:p>
    <w:p>
      <w:r>
        <w:rPr>
          <w:rFonts w:ascii="Source Han Serif SC" w:hAnsi="Source Han Serif SC" w:eastAsia="Source Han Serif SC"/>
          <w:b w:val="0"/>
          <w:color w:val="242A30"/>
          <w:sz w:val="21"/>
        </w:rPr>
        <w:t>这使潮宗街持续保护修缮成为现行政策明确方向，但“片区被点名”不等于“楠木厅12号已被列入具体实施项目”，更不等于“原告已取得要求某公司更新的请求权”。应进一步取得项目范围图、建筑清单、实施方案、资金表和主体文件。</w:t>
      </w:r>
    </w:p>
    <w:p>
      <w:pPr>
        <w:pStyle w:val="Heading2"/>
      </w:pPr>
      <w:r>
        <w:rPr>
          <w:rFonts w:ascii="TsangerJinKai02" w:hAnsi="TsangerJinKai02" w:eastAsia="TsangerJinKai02"/>
          <w:b/>
          <w:color w:val="1B365D"/>
          <w:sz w:val="28"/>
        </w:rPr>
        <w:t>5. “一屋一策”与“一房一策”</w:t>
      </w:r>
    </w:p>
    <w:p>
      <w:r>
        <w:rPr>
          <w:rFonts w:ascii="Source Han Serif SC" w:hAnsi="Source Han Serif SC" w:eastAsia="Source Han Serif SC"/>
          <w:b w:val="0"/>
          <w:color w:val="242A30"/>
          <w:sz w:val="21"/>
        </w:rPr>
        <w:t>长政办发〔2026〕6号在历史文化保护部分规定：</w:t>
      </w:r>
    </w:p>
    <w:p>
      <w:pPr>
        <w:pStyle w:val="PullQuote"/>
        <w:pBdr>
          <w:left w:val="single" w:sz="18" w:space="10" w:color="A97732"/>
        </w:pBdr>
      </w:pPr>
      <w:r>
        <w:rPr>
          <w:rFonts w:ascii="TsangerJinKai02" w:hAnsi="TsangerJinKai02" w:eastAsia="TsangerJinKai02"/>
          <w:b w:val="0"/>
          <w:color w:val="1B365D"/>
          <w:sz w:val="22"/>
        </w:rPr>
        <w:t>“除依法依规实行‘一屋一策’改造维护和使用外，严禁以危险住房名义违法违规拆除改造历史文化街区、传统村落、文物、历史建筑等。”</w:t>
      </w:r>
    </w:p>
    <w:p>
      <w:r>
        <w:rPr>
          <w:rFonts w:ascii="Source Han Serif SC" w:hAnsi="Source Han Serif SC" w:eastAsia="Source Han Serif SC"/>
          <w:b w:val="0"/>
          <w:color w:val="242A30"/>
          <w:sz w:val="21"/>
        </w:rPr>
        <w:t>这里的“一屋一策”首先是对历史文化对象进行合法、精细、个别化处理的程序和方法要求，不是承诺每一处普通房屋当前已经形成独立方案。规划征求意见稿另用“一楼一策”描述具有传统风貌或历史建筑特征危房的保护修缮。</w:t>
      </w:r>
    </w:p>
    <w:p>
      <w:r>
        <w:rPr>
          <w:rFonts w:ascii="Source Han Serif SC" w:hAnsi="Source Han Serif SC" w:eastAsia="Source Han Serif SC"/>
          <w:b w:val="0"/>
          <w:color w:val="242A30"/>
          <w:sz w:val="21"/>
        </w:rPr>
        <w:t>但本案还有更具体的证据线索：2023年5月12日督办文件要求对相关房屋“制定‘一房一策’处置开展计划”，列明责任人、治理方式、资金和期限；6月7日街道函又要求开福棚改投在拆除、拆除重建、维修加固中选择路径并完成风险销号。因此，楠木厅12号原则上应当存在当年的一房一策、加固方案、验收复鉴和销号记录，或者有关机关应解释为何没有。该线索比抽象引用2026年“一屋一策”更直接。</w:t>
      </w:r>
    </w:p>
    <w:p>
      <w:pPr>
        <w:pStyle w:val="Heading2"/>
      </w:pPr>
      <w:r>
        <w:rPr>
          <w:rFonts w:ascii="TsangerJinKai02" w:hAnsi="TsangerJinKai02" w:eastAsia="TsangerJinKai02"/>
          <w:b/>
          <w:color w:val="1B365D"/>
          <w:sz w:val="28"/>
        </w:rPr>
        <w:t>6. “老城不能再拆”</w:t>
      </w:r>
    </w:p>
    <w:p>
      <w:r>
        <w:rPr>
          <w:rFonts w:ascii="Source Han Serif SC" w:hAnsi="Source Han Serif SC" w:eastAsia="Source Han Serif SC"/>
          <w:b w:val="0"/>
          <w:color w:val="242A30"/>
          <w:sz w:val="21"/>
        </w:rPr>
        <w:t>长政办发〔2026〕6号要求：</w:t>
      </w:r>
    </w:p>
    <w:p>
      <w:pPr>
        <w:pStyle w:val="PullQuote"/>
        <w:pBdr>
          <w:left w:val="single" w:sz="18" w:space="10" w:color="A97732"/>
        </w:pBdr>
      </w:pPr>
      <w:r>
        <w:rPr>
          <w:rFonts w:ascii="TsangerJinKai02" w:hAnsi="TsangerJinKai02" w:eastAsia="TsangerJinKai02"/>
          <w:b w:val="0"/>
          <w:color w:val="1B365D"/>
          <w:sz w:val="22"/>
        </w:rPr>
        <w:t>“落实‘老城不能再拆’要求，划定最严格保护范围。”</w:t>
      </w:r>
    </w:p>
    <w:p>
      <w:r>
        <w:rPr>
          <w:rFonts w:ascii="Source Han Serif SC" w:hAnsi="Source Han Serif SC" w:eastAsia="Source Han Serif SC"/>
          <w:b w:val="0"/>
          <w:color w:val="242A30"/>
          <w:sz w:val="21"/>
        </w:rPr>
        <w:t>其法律意义不是所有老城建筑绝对不得拆除，而是历史文化街区不能再沿用大拆大建逻辑。对确需拆除重建的危险房屋，需要更严格的保护论证、规划控制、清单管理和审批。故潮宗街的原拆原建可行性低于普通区域，诉讼中更不能把它当成当然履行方式。</w:t>
      </w:r>
    </w:p>
    <w:p>
      <w:pPr>
        <w:pStyle w:val="Heading2"/>
      </w:pPr>
      <w:r>
        <w:rPr>
          <w:rFonts w:ascii="TsangerJinKai02" w:hAnsi="TsangerJinKai02" w:eastAsia="TsangerJinKai02"/>
          <w:b/>
          <w:color w:val="1B365D"/>
          <w:sz w:val="28"/>
        </w:rPr>
        <w:t>7. 严禁借危房名义违法拆除</w:t>
      </w:r>
    </w:p>
    <w:p>
      <w:r>
        <w:rPr>
          <w:rFonts w:ascii="Source Han Serif SC" w:hAnsi="Source Han Serif SC" w:eastAsia="Source Han Serif SC"/>
          <w:b w:val="0"/>
          <w:color w:val="242A30"/>
          <w:sz w:val="21"/>
        </w:rPr>
        <w:t>同一文件明确：</w:t>
      </w:r>
    </w:p>
    <w:p>
      <w:pPr>
        <w:pStyle w:val="PullQuote"/>
        <w:pBdr>
          <w:left w:val="single" w:sz="18" w:space="10" w:color="A97732"/>
        </w:pBdr>
      </w:pPr>
      <w:r>
        <w:rPr>
          <w:rFonts w:ascii="TsangerJinKai02" w:hAnsi="TsangerJinKai02" w:eastAsia="TsangerJinKai02"/>
          <w:b w:val="0"/>
          <w:color w:val="1B365D"/>
          <w:sz w:val="22"/>
        </w:rPr>
        <w:t>“严禁以危险住房名义违法违规拆除改造历史文化街区、传统村落、文物、历史建筑等。”</w:t>
      </w:r>
    </w:p>
    <w:p>
      <w:r>
        <w:rPr>
          <w:rFonts w:ascii="Source Han Serif SC" w:hAnsi="Source Han Serif SC" w:eastAsia="Source Han Serif SC"/>
          <w:b w:val="0"/>
          <w:color w:val="242A30"/>
          <w:sz w:val="21"/>
        </w:rPr>
        <w:t>这与原告反对未经合法程序鉴定、施工和拆除相容：房屋安全不能成为绕过产权人、保护规划和工程审批的通行证。与此同时，原告也不能反向以程序争议否定一切安全鉴定和必要治理。正确立场是：鉴定委托、入户、取样、破损修复、报告使用和后续工程均应有合法权限、必要性和程序；发现危险后必须选择合法治理路径。</w:t>
      </w:r>
    </w:p>
    <w:p>
      <w:pPr>
        <w:pStyle w:val="Heading2"/>
      </w:pPr>
      <w:r>
        <w:rPr>
          <w:rFonts w:ascii="TsangerJinKai02" w:hAnsi="TsangerJinKai02" w:eastAsia="TsangerJinKai02"/>
          <w:b/>
          <w:color w:val="1B365D"/>
          <w:sz w:val="28"/>
        </w:rPr>
        <w:t>8. 城市体检</w:t>
      </w:r>
    </w:p>
    <w:p>
      <w:r>
        <w:rPr>
          <w:rFonts w:ascii="Source Han Serif SC" w:hAnsi="Source Han Serif SC" w:eastAsia="Source Han Serif SC"/>
          <w:b w:val="0"/>
          <w:color w:val="242A30"/>
          <w:sz w:val="21"/>
        </w:rPr>
        <w:t>长政办发〔2026〕6号规定：</w:t>
      </w:r>
    </w:p>
    <w:p>
      <w:pPr>
        <w:pStyle w:val="PullQuote"/>
        <w:pBdr>
          <w:left w:val="single" w:sz="18" w:space="10" w:color="A97732"/>
        </w:pBdr>
      </w:pPr>
      <w:r>
        <w:rPr>
          <w:rFonts w:ascii="TsangerJinKai02" w:hAnsi="TsangerJinKai02" w:eastAsia="TsangerJinKai02"/>
          <w:b w:val="0"/>
          <w:color w:val="1B365D"/>
          <w:sz w:val="22"/>
        </w:rPr>
        <w:t>“将城市体检作为城市更新专项规划、片区策划编制或修改、项目实施的重要依据。”</w:t>
      </w:r>
    </w:p>
    <w:p>
      <w:r>
        <w:rPr>
          <w:rFonts w:ascii="Source Han Serif SC" w:hAnsi="Source Han Serif SC" w:eastAsia="Source Han Serif SC"/>
          <w:b w:val="0"/>
          <w:color w:val="242A30"/>
          <w:sz w:val="21"/>
        </w:rPr>
        <w:t>城市体检主要服务行政规划和项目决策，不是民事请求权基础。本案可据此申请公开楠木厅12号是否被纳入房屋体检、风险问题清单和项目储备；法院则可围绕现实危险、妨害和修复可行性组织勘验、鉴定。</w:t>
      </w:r>
    </w:p>
    <w:p>
      <w:pPr>
        <w:pStyle w:val="Heading2"/>
      </w:pPr>
      <w:r>
        <w:rPr>
          <w:rFonts w:ascii="TsangerJinKai02" w:hAnsi="TsangerJinKai02" w:eastAsia="TsangerJinKai02"/>
          <w:b/>
          <w:color w:val="1B365D"/>
          <w:sz w:val="28"/>
        </w:rPr>
        <w:t>9. 问题闭环处置</w:t>
      </w:r>
    </w:p>
    <w:p>
      <w:r>
        <w:rPr>
          <w:rFonts w:ascii="Source Han Serif SC" w:hAnsi="Source Han Serif SC" w:eastAsia="Source Han Serif SC"/>
          <w:b w:val="0"/>
          <w:color w:val="242A30"/>
          <w:sz w:val="21"/>
        </w:rPr>
        <w:t>长政办发〔2026〕6号同时要求建立：</w:t>
      </w:r>
    </w:p>
    <w:p>
      <w:pPr>
        <w:pStyle w:val="PullQuote"/>
        <w:pBdr>
          <w:left w:val="single" w:sz="18" w:space="10" w:color="A97732"/>
        </w:pBdr>
      </w:pPr>
      <w:r>
        <w:rPr>
          <w:rFonts w:ascii="TsangerJinKai02" w:hAnsi="TsangerJinKai02" w:eastAsia="TsangerJinKai02"/>
          <w:b w:val="0"/>
          <w:color w:val="1B365D"/>
          <w:sz w:val="22"/>
        </w:rPr>
        <w:t>“体检数据精准、成果应用高效、问题闭环处置、机制保障长效的城市体检工作体系。”</w:t>
      </w:r>
    </w:p>
    <w:p>
      <w:r>
        <w:rPr>
          <w:rFonts w:ascii="Source Han Serif SC" w:hAnsi="Source Han Serif SC" w:eastAsia="Source Han Serif SC"/>
          <w:b w:val="0"/>
          <w:color w:val="242A30"/>
          <w:sz w:val="21"/>
        </w:rPr>
        <w:t>规划征求意见稿又提出“无体检不更新”和“排查、鉴定、整治（或拆除）”的危房治理闭环。楠木厅12号既已有鉴定和2023年加固，进一步需要查明：当时加固具体解决了什么、复鉴范围是什么、是否销号、后续是否再次发现C/Csu风险、当前围挡依据和治理计划是什么。没有这些材料，不能武断认定“长期未治理”，但长期停在围挡而无方案确实是值得法院和行政机关查明的问题。</w:t>
      </w:r>
    </w:p>
    <w:p>
      <w:pPr>
        <w:pStyle w:val="Heading2"/>
      </w:pPr>
      <w:r>
        <w:rPr>
          <w:rFonts w:ascii="TsangerJinKai02" w:hAnsi="TsangerJinKai02" w:eastAsia="TsangerJinKai02"/>
          <w:b/>
          <w:color w:val="1B365D"/>
          <w:sz w:val="28"/>
        </w:rPr>
        <w:t>10. 存量房屋收购</w:t>
      </w:r>
    </w:p>
    <w:p>
      <w:r>
        <w:rPr>
          <w:rFonts w:ascii="Source Han Serif SC" w:hAnsi="Source Han Serif SC" w:eastAsia="Source Han Serif SC"/>
          <w:b w:val="0"/>
          <w:color w:val="242A30"/>
          <w:sz w:val="21"/>
        </w:rPr>
        <w:t>长政办发〔2026〕6号明确：</w:t>
      </w:r>
    </w:p>
    <w:p>
      <w:pPr>
        <w:pStyle w:val="PullQuote"/>
        <w:pBdr>
          <w:left w:val="single" w:sz="18" w:space="10" w:color="A97732"/>
        </w:pBdr>
      </w:pPr>
      <w:r>
        <w:rPr>
          <w:rFonts w:ascii="TsangerJinKai02" w:hAnsi="TsangerJinKai02" w:eastAsia="TsangerJinKai02"/>
          <w:b w:val="0"/>
          <w:color w:val="1B365D"/>
          <w:sz w:val="22"/>
        </w:rPr>
        <w:t>“鼓励成片收购存量房屋进行片区更新。坚持市场化运作方式和运营前置。”</w:t>
      </w:r>
    </w:p>
    <w:p>
      <w:r>
        <w:rPr>
          <w:rFonts w:ascii="Source Han Serif SC" w:hAnsi="Source Han Serif SC" w:eastAsia="Source Han Serif SC"/>
          <w:b w:val="0"/>
          <w:color w:val="242A30"/>
          <w:sz w:val="21"/>
        </w:rPr>
        <w:t>这表明自愿、市场化产权收购已是长沙认可的更新路径之一，可以成为调解中的现金收购、产权置换、商业物业置换或现金加物业组合方案。但政策没有规定科棚或开福棚改投必须收购东301，也没有赋予原告按单方价格强制出售的权利。价格、税费、评估基准、腾退、权属瑕疵和付款担保必须协商。</w:t>
      </w:r>
    </w:p>
    <w:p>
      <w:pPr>
        <w:pStyle w:val="Heading1"/>
      </w:pPr>
      <w:r>
        <w:rPr>
          <w:rFonts w:ascii="TsangerJinKai02" w:hAnsi="TsangerJinKai02" w:eastAsia="TsangerJinKai02"/>
          <w:b/>
          <w:color w:val="1B365D"/>
          <w:sz w:val="36"/>
        </w:rPr>
        <w:t>四、C/Csu鉴定在新政策下的准确含义</w:t>
      </w:r>
    </w:p>
    <w:p>
      <w:pPr>
        <w:pStyle w:val="Heading2"/>
      </w:pPr>
      <w:r>
        <w:rPr>
          <w:rFonts w:ascii="TsangerJinKai02" w:hAnsi="TsangerJinKai02" w:eastAsia="TsangerJinKai02"/>
          <w:b/>
          <w:color w:val="1B365D"/>
          <w:sz w:val="28"/>
        </w:rPr>
        <w:t>1. 四个必须否定的等式</w:t>
      </w:r>
    </w:p>
    <w:p>
      <w:pPr>
        <w:pStyle w:val="ListBullet"/>
        <w:spacing w:after="60"/>
        <w:ind w:left="397" w:hanging="198"/>
      </w:pPr>
      <w:r>
        <w:rPr>
          <w:rFonts w:ascii="Source Han Serif SC" w:hAnsi="Source Han Serif SC" w:eastAsia="Source Han Serif SC"/>
          <w:b w:val="0"/>
          <w:color w:val="242A30"/>
          <w:sz w:val="21"/>
        </w:rPr>
        <w:t>C/Csu不等于只能围挡。围挡属于临时风险控制，后续仍需治理决策。</w:t>
      </w:r>
    </w:p>
    <w:p>
      <w:pPr>
        <w:pStyle w:val="ListBullet"/>
        <w:spacing w:after="60"/>
        <w:ind w:left="397" w:hanging="198"/>
      </w:pPr>
      <w:r>
        <w:rPr>
          <w:rFonts w:ascii="Source Han Serif SC" w:hAnsi="Source Han Serif SC" w:eastAsia="Source Han Serif SC"/>
          <w:b w:val="0"/>
          <w:color w:val="242A30"/>
          <w:sz w:val="21"/>
        </w:rPr>
        <w:t>C/Csu不等于不能修。现行长沙政策把维修加固明确列为C、D级危旧房处置方式。</w:t>
      </w:r>
    </w:p>
    <w:p>
      <w:pPr>
        <w:pStyle w:val="ListBullet"/>
        <w:spacing w:after="60"/>
        <w:ind w:left="397" w:hanging="198"/>
      </w:pPr>
      <w:r>
        <w:rPr>
          <w:rFonts w:ascii="Source Han Serif SC" w:hAnsi="Source Han Serif SC" w:eastAsia="Source Han Serif SC"/>
          <w:b w:val="0"/>
          <w:color w:val="242A30"/>
          <w:sz w:val="21"/>
        </w:rPr>
        <w:t>C/Csu不等于必须拆。是否拆除取决于危险程度、技术经济论证、产权人决策、规划和历史文化保护审批。</w:t>
      </w:r>
    </w:p>
    <w:p>
      <w:pPr>
        <w:pStyle w:val="ListBullet"/>
        <w:spacing w:after="60"/>
        <w:ind w:left="397" w:hanging="198"/>
      </w:pPr>
      <w:r>
        <w:rPr>
          <w:rFonts w:ascii="Source Han Serif SC" w:hAnsi="Source Han Serif SC" w:eastAsia="Source Han Serif SC"/>
          <w:b w:val="0"/>
          <w:color w:val="242A30"/>
          <w:sz w:val="21"/>
        </w:rPr>
        <w:t>C/Csu意味着需要治理。治理可以是防护、修缮、加固、拆除重建、征收或依法实施的其他路径。</w:t>
      </w:r>
    </w:p>
    <w:p>
      <w:pPr>
        <w:pStyle w:val="Heading2"/>
      </w:pPr>
      <w:r>
        <w:rPr>
          <w:rFonts w:ascii="TsangerJinKai02" w:hAnsi="TsangerJinKai02" w:eastAsia="TsangerJinKai02"/>
          <w:b/>
          <w:color w:val="1B365D"/>
          <w:sz w:val="28"/>
        </w:rPr>
        <w:t>2. 本案现有鉴定证据的真实时间线</w:t>
      </w:r>
    </w:p>
    <w:tbl>
      <w:tblPr>
        <w:tblW w:type="auto" w:w="0"/>
        <w:jc w:val="center"/>
        <w:tblLayout w:type="autofit"/>
        <w:tblLook w:firstColumn="1" w:firstRow="1" w:lastColumn="0" w:lastRow="0" w:noHBand="0" w:noVBand="1" w:val="04A0"/>
      </w:tblPr>
      <w:tblGrid>
        <w:gridCol w:w="3251"/>
        <w:gridCol w:w="3251"/>
        <w:gridCol w:w="3251"/>
      </w:tblGrid>
      <w:tr>
        <w:trPr>
          <w:tblHeader w:val="true"/>
        </w:trP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项目</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2022年报告</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2023年加固后报告/裁判认定</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时间</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2022年7月3日检测，9月5日出具</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2023年6月29日形成《楠木厅12号C级危房加固项目》相关报告</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委托/机构</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开福棚改投委托湖南同宇</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现有材料反映为湖南湘力；完整报告尚未取得</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对象</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“潮宗街片区新编227号楼”，裁判材料对应楠木厅12号</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楠木厅12号加固项目</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标准/范围</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GB 50292—2015；全楼综合安全鉴定，报告面积1585㎡，与行政材料1336.04㎡存在差异</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现有裁判仅确认“现阶段主体结构安全性鉴定等级为B级”；标准、范围、计算和附件待完整报告核验</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结论</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整体C/Csu；地基为Bu系依据上部反应判断，未进行地勘开挖；围护承重部分受门窗拆除等影响</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不能从现有材料推断整栋房屋的使用性、排水、消防、通行和围护系统全部达到B/Bsu</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建议</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委托有资质单位进行加固设计与施工；报告建议不能替代施工图</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应核验加固工程范围、验收、复鉴和风险销号</w:t>
            </w:r>
          </w:p>
        </w:tc>
      </w:tr>
    </w:tbl>
    <w:p>
      <w:pPr>
        <w:spacing w:after="40"/>
      </w:pPr>
    </w:p>
    <w:p>
      <w:r>
        <w:rPr>
          <w:rFonts w:ascii="Source Han Serif SC" w:hAnsi="Source Han Serif SC" w:eastAsia="Source Han Serif SC"/>
          <w:b w:val="0"/>
          <w:color w:val="242A30"/>
          <w:sz w:val="21"/>
        </w:rPr>
        <w:t>因此，用户设想的“此前B/Bsu、后续C/Csu”与项目内现有完整证据不一致。现有时间线是</w:t>
      </w:r>
      <w:r>
        <w:rPr>
          <w:rFonts w:ascii="Source Han Serif SC" w:hAnsi="Source Han Serif SC" w:eastAsia="Source Han Serif SC"/>
          <w:b/>
          <w:color w:val="1B365D"/>
          <w:sz w:val="21"/>
        </w:rPr>
        <w:t>2022年C/Csu—2023年加固—主体结构B级</w:t>
      </w:r>
      <w:r>
        <w:rPr>
          <w:rFonts w:ascii="Source Han Serif SC" w:hAnsi="Source Han Serif SC" w:eastAsia="Source Han Serif SC"/>
          <w:b w:val="0"/>
          <w:color w:val="242A30"/>
          <w:sz w:val="21"/>
        </w:rPr>
        <w:t>。在取得2023年完整报告并证明同标准、同对象、同范围、同指标可比前，不宜把“不低于此前B/Bsu”写成唯一判决标准。</w:t>
      </w:r>
    </w:p>
    <w:p>
      <w:pPr>
        <w:pStyle w:val="Heading2"/>
      </w:pPr>
      <w:r>
        <w:rPr>
          <w:rFonts w:ascii="TsangerJinKai02" w:hAnsi="TsangerJinKai02" w:eastAsia="TsangerJinKai02"/>
          <w:b/>
          <w:color w:val="1B365D"/>
          <w:sz w:val="28"/>
        </w:rPr>
        <w:t>3. 更好的结果标准</w:t>
      </w:r>
    </w:p>
    <w:p>
      <w:r>
        <w:rPr>
          <w:rFonts w:ascii="Source Han Serif SC" w:hAnsi="Source Han Serif SC" w:eastAsia="Source Han Serif SC"/>
          <w:b w:val="0"/>
          <w:color w:val="242A30"/>
          <w:sz w:val="21"/>
        </w:rPr>
        <w:t>优先标准应是：由双方共同选定或法院依法委托的有资质机构，依据届时有效标准，对约定的同一鉴定单元和使用功能完成复核；确认修复、加固项目合格，危险构件已消除或受控，房屋及必要共有部位达到依法继续安全、正常使用的状态。2023年B级结论可以作为历史辅助基准；只有经专家确认可比，才约定“复核结果不低于2023年同一鉴定单元、同一标准和同一范围的B级状态”。</w:t>
      </w:r>
    </w:p>
    <w:p>
      <w:pPr>
        <w:pStyle w:val="Heading1"/>
      </w:pPr>
      <w:r>
        <w:rPr>
          <w:rFonts w:ascii="TsangerJinKai02" w:hAnsi="TsangerJinKai02" w:eastAsia="TsangerJinKai02"/>
          <w:b/>
          <w:color w:val="1B365D"/>
          <w:sz w:val="36"/>
        </w:rPr>
        <w:t>五、为什么潮宗街更新了，而楠木厅12号是否更新仍不明</w:t>
      </w:r>
    </w:p>
    <w:p>
      <w:pPr>
        <w:pStyle w:val="Heading2"/>
      </w:pPr>
      <w:r>
        <w:rPr>
          <w:rFonts w:ascii="TsangerJinKai02" w:hAnsi="TsangerJinKai02" w:eastAsia="TsangerJinKai02"/>
          <w:b/>
          <w:color w:val="1B365D"/>
          <w:sz w:val="28"/>
        </w:rPr>
        <w:t>1. 已能确认的事实</w:t>
      </w:r>
    </w:p>
    <w:p>
      <w:pPr>
        <w:pStyle w:val="ListBullet"/>
        <w:spacing w:after="60"/>
        <w:ind w:left="397" w:hanging="198"/>
      </w:pPr>
      <w:r>
        <w:rPr>
          <w:rFonts w:ascii="Source Han Serif SC" w:hAnsi="Source Han Serif SC" w:eastAsia="Source Han Serif SC"/>
          <w:b w:val="0"/>
          <w:color w:val="242A30"/>
          <w:sz w:val="21"/>
        </w:rPr>
        <w:t>2026年总方案明确持续推进潮宗街历史文化街区保护修缮与活化利用。</w:t>
      </w:r>
    </w:p>
    <w:p>
      <w:pPr>
        <w:pStyle w:val="ListBullet"/>
        <w:spacing w:after="60"/>
        <w:ind w:left="397" w:hanging="198"/>
      </w:pPr>
      <w:r>
        <w:rPr>
          <w:rFonts w:ascii="Source Han Serif SC" w:hAnsi="Source Han Serif SC" w:eastAsia="Source Han Serif SC"/>
          <w:b w:val="0"/>
          <w:color w:val="242A30"/>
          <w:sz w:val="21"/>
        </w:rPr>
        <w:t>规划征求意见稿对开福区提出“有序实施潮宗街藩城堤片区历史街巷提质项目”。</w:t>
      </w:r>
    </w:p>
    <w:p>
      <w:pPr>
        <w:pStyle w:val="ListBullet"/>
        <w:spacing w:after="60"/>
        <w:ind w:left="397" w:hanging="198"/>
      </w:pPr>
      <w:r>
        <w:rPr>
          <w:rFonts w:ascii="Source Han Serif SC" w:hAnsi="Source Han Serif SC" w:eastAsia="Source Han Serif SC"/>
          <w:b w:val="0"/>
          <w:color w:val="242A30"/>
          <w:sz w:val="21"/>
        </w:rPr>
        <w:t>官方报道介绍潮宗街存在“国企投资改造、民企专业运营、街道牵头管理”的实践模式。</w:t>
      </w:r>
    </w:p>
    <w:p>
      <w:pPr>
        <w:pStyle w:val="ListBullet"/>
        <w:spacing w:after="60"/>
        <w:ind w:left="397" w:hanging="198"/>
      </w:pPr>
      <w:r>
        <w:rPr>
          <w:rFonts w:ascii="Source Han Serif SC" w:hAnsi="Source Han Serif SC" w:eastAsia="Source Han Serif SC"/>
          <w:b w:val="0"/>
          <w:color w:val="242A30"/>
          <w:sz w:val="21"/>
        </w:rPr>
        <w:t>2026年潮宗街片区房屋鉴定服务采购范围约83,764.06平方米，要求形成问题和整改建议。</w:t>
      </w:r>
    </w:p>
    <w:p>
      <w:pPr>
        <w:pStyle w:val="Heading2"/>
      </w:pPr>
      <w:r>
        <w:rPr>
          <w:rFonts w:ascii="TsangerJinKai02" w:hAnsi="TsangerJinKai02" w:eastAsia="TsangerJinKai02"/>
          <w:b/>
          <w:color w:val="1B365D"/>
          <w:sz w:val="28"/>
        </w:rPr>
        <w:t>2. 目前不能确认的事实</w:t>
      </w:r>
    </w:p>
    <w:p>
      <w:r>
        <w:rPr>
          <w:rFonts w:ascii="Source Han Serif SC" w:hAnsi="Source Han Serif SC" w:eastAsia="Source Han Serif SC"/>
          <w:b w:val="0"/>
          <w:color w:val="242A30"/>
          <w:sz w:val="21"/>
        </w:rPr>
        <w:t>公开材料没有提供楠木厅12号的项目入库编号、建筑清单、范围图坐标、一屋一策、投资表、实施主体决定或2026年采购逐栋清单。因此，四种情形均需证据验证：已经纳入但未实施；尚未纳入；单列危房治理；因权属、征收终止或其他遗留问题暂缓。现阶段对任何一种作肯定判断都会越过证据。</w:t>
      </w:r>
    </w:p>
    <w:p>
      <w:r>
        <w:rPr>
          <w:rFonts w:ascii="Source Han Serif SC" w:hAnsi="Source Han Serif SC" w:eastAsia="Source Han Serif SC"/>
          <w:b w:val="0"/>
          <w:color w:val="242A30"/>
          <w:sz w:val="21"/>
        </w:rPr>
        <w:t>公开规划资料表明楠木厅一带处在潮宗街历史文化街区相关范围的可能性很高，但必须取得法定保护范围图和地块落点，且不得把楠木厅12号与公开资料中的楠木厅6号历史建筑混为一谈。</w:t>
      </w:r>
    </w:p>
    <w:p>
      <w:pPr>
        <w:pStyle w:val="Heading2"/>
      </w:pPr>
      <w:r>
        <w:rPr>
          <w:rFonts w:ascii="TsangerJinKai02" w:hAnsi="TsangerJinKai02" w:eastAsia="TsangerJinKai02"/>
          <w:b/>
          <w:color w:val="1B365D"/>
          <w:sz w:val="28"/>
        </w:rPr>
        <w:t>3. 征收终止后不能无限期“等待处置”</w:t>
      </w:r>
    </w:p>
    <w:p>
      <w:r>
        <w:rPr>
          <w:rFonts w:ascii="Source Han Serif SC" w:hAnsi="Source Han Serif SC" w:eastAsia="Source Han Serif SC"/>
          <w:b w:val="0"/>
          <w:color w:val="242A30"/>
          <w:sz w:val="21"/>
        </w:rPr>
        <w:t>征收、收购或项目终止不当然消灭留存产权人的物权，也不当然授权任何企业继续占用或损坏。对基本排水、通行、结构安全和公共危险的治理，仍要回到物权、房屋安全、共有管理和属地监管规则。2026年政策的闭环机制进一步削弱“项目未完成，所以什么都不处理”的合理性。</w:t>
      </w:r>
    </w:p>
    <w:p>
      <w:r>
        <w:rPr>
          <w:rFonts w:ascii="Source Han Serif SC" w:hAnsi="Source Han Serif SC" w:eastAsia="Source Han Serif SC"/>
          <w:b w:val="0"/>
          <w:color w:val="242A30"/>
          <w:sz w:val="21"/>
        </w:rPr>
        <w:t>但应区分责任：所有权人原则上承担房屋安全责任；实际侵权人对其造成的损害负责；具有管理改造职责的主体可能承担相应管理或履行责任；行政机关承担法定监管和组织职责。原告不能只凭政策把全部楼栋治理费用转移给科棚，需要用生效判决、项目委托、实际行为、控制关系和因果鉴定分别锁定。</w:t>
      </w:r>
    </w:p>
    <w:p>
      <w:pPr>
        <w:pStyle w:val="Heading1"/>
      </w:pPr>
      <w:r>
        <w:rPr>
          <w:rFonts w:ascii="TsangerJinKai02" w:hAnsi="TsangerJinKai02" w:eastAsia="TsangerJinKai02"/>
          <w:b/>
          <w:color w:val="1B365D"/>
          <w:sz w:val="36"/>
        </w:rPr>
        <w:t>六、科棚与开福棚改投的角色及追加判断</w:t>
      </w:r>
    </w:p>
    <w:p>
      <w:pPr>
        <w:pStyle w:val="Heading2"/>
      </w:pPr>
      <w:r>
        <w:rPr>
          <w:rFonts w:ascii="TsangerJinKai02" w:hAnsi="TsangerJinKai02" w:eastAsia="TsangerJinKai02"/>
          <w:b/>
          <w:color w:val="1B365D"/>
          <w:sz w:val="28"/>
        </w:rPr>
        <w:t>1. 开福棚改投</w:t>
      </w:r>
    </w:p>
    <w:p>
      <w:r>
        <w:rPr>
          <w:rFonts w:ascii="Source Han Serif SC" w:hAnsi="Source Han Serif SC" w:eastAsia="Source Han Serif SC"/>
          <w:b w:val="0"/>
          <w:color w:val="242A30"/>
          <w:sz w:val="21"/>
        </w:rPr>
        <w:t>项目内生效裁判材料确认2015年相关文件仍有效，并认定开福棚改投对涉案楼栋具有相应管理、改造职责。2022年C/Csu鉴定亦由其委托，2023年街道函要求其选择治理路径并完成处置。若诉讼目标扩展到楼栋修缮、加固、复鉴和安全使用结果，开福棚改投比单纯运营公司更可能具备组织、出资协调和实际履行能力。</w:t>
      </w:r>
    </w:p>
    <w:p>
      <w:pPr>
        <w:pStyle w:val="Heading2"/>
      </w:pPr>
      <w:r>
        <w:rPr>
          <w:rFonts w:ascii="TsangerJinKai02" w:hAnsi="TsangerJinKai02" w:eastAsia="TsangerJinKai02"/>
          <w:b/>
          <w:color w:val="1B365D"/>
          <w:sz w:val="28"/>
        </w:rPr>
        <w:t>2. 科棚</w:t>
      </w:r>
    </w:p>
    <w:p>
      <w:r>
        <w:rPr>
          <w:rFonts w:ascii="Source Han Serif SC" w:hAnsi="Source Han Serif SC" w:eastAsia="Source Han Serif SC"/>
          <w:b w:val="0"/>
          <w:color w:val="242A30"/>
          <w:sz w:val="21"/>
        </w:rPr>
        <w:t>现有线索包括人员参与进场、曾主张有权组织鉴定、潘某与收购或楼栋事务的关联、起诉后协调垃圾清理及愿意调解。但报警记录、授权委托、合同、现场影像、结算和项目职能文件仍需核实。官方所称“民企专业运营”不能自动对应科棚，更不能自动证明科棚负有结构加固义务。</w:t>
      </w:r>
    </w:p>
    <w:p>
      <w:pPr>
        <w:pStyle w:val="Heading2"/>
      </w:pPr>
      <w:r>
        <w:rPr>
          <w:rFonts w:ascii="TsangerJinKai02" w:hAnsi="TsangerJinKai02" w:eastAsia="TsangerJinKai02"/>
          <w:b/>
          <w:color w:val="1B365D"/>
          <w:sz w:val="28"/>
        </w:rPr>
        <w:t>3. 追加概率判断</w:t>
      </w:r>
    </w:p>
    <w:p>
      <w:pPr>
        <w:pStyle w:val="ListBullet"/>
        <w:spacing w:after="60"/>
        <w:ind w:left="397" w:hanging="198"/>
      </w:pPr>
      <w:r>
        <w:rPr>
          <w:rFonts w:ascii="Source Han Serif SC" w:hAnsi="Source Han Serif SC" w:eastAsia="Source Han Serif SC"/>
          <w:b w:val="0"/>
          <w:color w:val="242A30"/>
          <w:sz w:val="21"/>
        </w:rPr>
        <w:t>若诉讼只要求科棚不得未经同意进入东301、停止钻孔并修复自身造成的具体损坏：追加开福棚改投的必要性约</w:t>
      </w:r>
      <w:r>
        <w:rPr>
          <w:rFonts w:ascii="Source Han Serif SC" w:hAnsi="Source Han Serif SC" w:eastAsia="Source Han Serif SC"/>
          <w:b/>
          <w:color w:val="1B365D"/>
          <w:sz w:val="21"/>
        </w:rPr>
        <w:t>25/100</w:t>
      </w:r>
      <w:r>
        <w:rPr>
          <w:rFonts w:ascii="Source Han Serif SC" w:hAnsi="Source Han Serif SC" w:eastAsia="Source Han Serif SC"/>
          <w:b w:val="0"/>
          <w:color w:val="242A30"/>
          <w:sz w:val="21"/>
        </w:rPr>
        <w:t>。行为主体可以单独审理。</w:t>
      </w:r>
    </w:p>
    <w:p>
      <w:pPr>
        <w:pStyle w:val="ListBullet"/>
        <w:spacing w:after="60"/>
        <w:ind w:left="397" w:hanging="198"/>
      </w:pPr>
      <w:r>
        <w:rPr>
          <w:rFonts w:ascii="Source Han Serif SC" w:hAnsi="Source Han Serif SC" w:eastAsia="Source Han Serif SC"/>
          <w:b w:val="0"/>
          <w:color w:val="242A30"/>
          <w:sz w:val="21"/>
        </w:rPr>
        <w:t>若诉讼要求恢复楼栋排水、通行、共有设施，实施修缮加固并复鉴至安全使用状态：追加或至少通知开福棚改投参加的战略必要性约</w:t>
      </w:r>
      <w:r>
        <w:rPr>
          <w:rFonts w:ascii="Source Han Serif SC" w:hAnsi="Source Han Serif SC" w:eastAsia="Source Han Serif SC"/>
          <w:b/>
          <w:color w:val="1B365D"/>
          <w:sz w:val="21"/>
        </w:rPr>
        <w:t>85/100</w:t>
      </w:r>
      <w:r>
        <w:rPr>
          <w:rFonts w:ascii="Source Han Serif SC" w:hAnsi="Source Han Serif SC" w:eastAsia="Source Han Serif SC"/>
          <w:b w:val="0"/>
          <w:color w:val="242A30"/>
          <w:sz w:val="21"/>
        </w:rPr>
        <w:t>。否则可能出现判决义务超出科棚权限、执行主体缺位的问题。</w:t>
      </w:r>
    </w:p>
    <w:p>
      <w:pPr>
        <w:pStyle w:val="ListBullet"/>
        <w:spacing w:after="60"/>
        <w:ind w:left="397" w:hanging="198"/>
      </w:pPr>
      <w:r>
        <w:rPr>
          <w:rFonts w:ascii="Source Han Serif SC" w:hAnsi="Source Han Serif SC" w:eastAsia="Source Han Serif SC"/>
          <w:b w:val="0"/>
          <w:color w:val="242A30"/>
          <w:sz w:val="21"/>
        </w:rPr>
        <w:t>其是否构成法律上的必要共同诉讼人并非当然，暂估</w:t>
      </w:r>
      <w:r>
        <w:rPr>
          <w:rFonts w:ascii="Source Han Serif SC" w:hAnsi="Source Han Serif SC" w:eastAsia="Source Han Serif SC"/>
          <w:b/>
          <w:color w:val="1B365D"/>
          <w:sz w:val="21"/>
        </w:rPr>
        <w:t>35/100</w:t>
      </w:r>
      <w:r>
        <w:rPr>
          <w:rFonts w:ascii="Source Han Serif SC" w:hAnsi="Source Han Serif SC" w:eastAsia="Source Han Serif SC"/>
          <w:b w:val="0"/>
          <w:color w:val="242A30"/>
          <w:sz w:val="21"/>
        </w:rPr>
        <w:t>；法院可依具体请求和证据将其列为共同被告、第三人，或仅纳入调解。正式申请应同时提交生效裁判、2015年文件、2022年委托鉴定和2023年处置函。</w:t>
      </w:r>
    </w:p>
    <w:p>
      <w:pPr>
        <w:pStyle w:val="Heading1"/>
      </w:pPr>
      <w:r>
        <w:rPr>
          <w:rFonts w:ascii="TsangerJinKai02" w:hAnsi="TsangerJinKai02" w:eastAsia="TsangerJinKai02"/>
          <w:b/>
          <w:color w:val="1B365D"/>
          <w:sz w:val="36"/>
        </w:rPr>
        <w:t>七、五类诉讼与政策的边界</w:t>
      </w:r>
    </w:p>
    <w:p>
      <w:pPr>
        <w:pStyle w:val="Heading2"/>
      </w:pPr>
      <w:r>
        <w:rPr>
          <w:rFonts w:ascii="TsangerJinKai02" w:hAnsi="TsangerJinKai02" w:eastAsia="TsangerJinKai02"/>
          <w:b/>
          <w:color w:val="1B365D"/>
          <w:sz w:val="28"/>
        </w:rPr>
        <w:t>法院较适合直接判决</w:t>
      </w:r>
    </w:p>
    <w:p>
      <w:pPr>
        <w:pStyle w:val="ListBullet"/>
        <w:spacing w:after="60"/>
        <w:ind w:left="397" w:hanging="198"/>
      </w:pPr>
      <w:r>
        <w:rPr>
          <w:rFonts w:ascii="Source Han Serif SC" w:hAnsi="Source Han Serif SC" w:eastAsia="Source Han Serif SC"/>
          <w:b w:val="0"/>
          <w:color w:val="242A30"/>
          <w:sz w:val="21"/>
        </w:rPr>
        <w:t>禁止未经合法授权再次进入东301、钻孔、拆改或造成具体妨害；</w:t>
      </w:r>
    </w:p>
    <w:p>
      <w:pPr>
        <w:pStyle w:val="ListBullet"/>
        <w:spacing w:after="60"/>
        <w:ind w:left="397" w:hanging="198"/>
      </w:pPr>
      <w:r>
        <w:rPr>
          <w:rFonts w:ascii="Source Han Serif SC" w:hAnsi="Source Han Serif SC" w:eastAsia="Source Han Serif SC"/>
          <w:b w:val="0"/>
          <w:color w:val="242A30"/>
          <w:sz w:val="21"/>
        </w:rPr>
        <w:t>修补钻孔和可归责于被告的具体损坏；</w:t>
      </w:r>
    </w:p>
    <w:p>
      <w:pPr>
        <w:pStyle w:val="ListBullet"/>
        <w:spacing w:after="60"/>
        <w:ind w:left="397" w:hanging="198"/>
      </w:pPr>
      <w:r>
        <w:rPr>
          <w:rFonts w:ascii="Source Han Serif SC" w:hAnsi="Source Han Serif SC" w:eastAsia="Source Han Serif SC"/>
          <w:b w:val="0"/>
          <w:color w:val="242A30"/>
          <w:sz w:val="21"/>
        </w:rPr>
        <w:t>清除可定位、可归责的建筑垃圾；</w:t>
      </w:r>
    </w:p>
    <w:p>
      <w:pPr>
        <w:pStyle w:val="ListBullet"/>
        <w:spacing w:after="60"/>
        <w:ind w:left="397" w:hanging="198"/>
      </w:pPr>
      <w:r>
        <w:rPr>
          <w:rFonts w:ascii="Source Han Serif SC" w:hAnsi="Source Han Serif SC" w:eastAsia="Source Han Serif SC"/>
          <w:b w:val="0"/>
          <w:color w:val="242A30"/>
          <w:sz w:val="21"/>
        </w:rPr>
        <w:t>恢复被堵塞且存在因果关系的排水设施；</w:t>
      </w:r>
    </w:p>
    <w:p>
      <w:pPr>
        <w:pStyle w:val="ListBullet"/>
        <w:spacing w:after="60"/>
        <w:ind w:left="397" w:hanging="198"/>
      </w:pPr>
      <w:r>
        <w:rPr>
          <w:rFonts w:ascii="Source Han Serif SC" w:hAnsi="Source Han Serif SC" w:eastAsia="Source Han Serif SC"/>
          <w:b w:val="0"/>
          <w:color w:val="242A30"/>
          <w:sz w:val="21"/>
        </w:rPr>
        <w:t>调整不具合法必要性或超过必要限度的围挡，保障安全条件下的合理通行；</w:t>
      </w:r>
    </w:p>
    <w:p>
      <w:pPr>
        <w:pStyle w:val="ListBullet"/>
        <w:spacing w:after="60"/>
        <w:ind w:left="397" w:hanging="198"/>
      </w:pPr>
      <w:r>
        <w:rPr>
          <w:rFonts w:ascii="Source Han Serif SC" w:hAnsi="Source Han Serif SC" w:eastAsia="Source Han Serif SC"/>
          <w:b w:val="0"/>
          <w:color w:val="242A30"/>
          <w:sz w:val="21"/>
        </w:rPr>
        <w:t>在责任主体、因果关系、技术方案均查明时，实施明确的修缮、加固项目并达到可鉴定的安全使用结果。</w:t>
      </w:r>
    </w:p>
    <w:p>
      <w:pPr>
        <w:pStyle w:val="Heading2"/>
      </w:pPr>
      <w:r>
        <w:rPr>
          <w:rFonts w:ascii="TsangerJinKai02" w:hAnsi="TsangerJinKai02" w:eastAsia="TsangerJinKai02"/>
          <w:b/>
          <w:color w:val="1B365D"/>
          <w:sz w:val="28"/>
        </w:rPr>
        <w:t>更适合通过调解、行政治理或项目实施</w:t>
      </w:r>
    </w:p>
    <w:p>
      <w:pPr>
        <w:pStyle w:val="ListBullet"/>
        <w:spacing w:after="60"/>
        <w:ind w:left="397" w:hanging="198"/>
      </w:pPr>
      <w:r>
        <w:rPr>
          <w:rFonts w:ascii="Source Han Serif SC" w:hAnsi="Source Han Serif SC" w:eastAsia="Source Han Serif SC"/>
          <w:b w:val="0"/>
          <w:color w:val="242A30"/>
          <w:sz w:val="21"/>
        </w:rPr>
        <w:t>楠木厅12号“一屋一策”或综合治理实施方案；</w:t>
      </w:r>
    </w:p>
    <w:p>
      <w:pPr>
        <w:pStyle w:val="ListBullet"/>
        <w:spacing w:after="60"/>
        <w:ind w:left="397" w:hanging="198"/>
      </w:pPr>
      <w:r>
        <w:rPr>
          <w:rFonts w:ascii="Source Han Serif SC" w:hAnsi="Source Han Serif SC" w:eastAsia="Source Han Serif SC"/>
          <w:b w:val="0"/>
          <w:color w:val="242A30"/>
          <w:sz w:val="21"/>
        </w:rPr>
        <w:t>整栋有机更新、片区更新；</w:t>
      </w:r>
    </w:p>
    <w:p>
      <w:pPr>
        <w:pStyle w:val="ListBullet"/>
        <w:spacing w:after="60"/>
        <w:ind w:left="397" w:hanging="198"/>
      </w:pPr>
      <w:r>
        <w:rPr>
          <w:rFonts w:ascii="Source Han Serif SC" w:hAnsi="Source Han Serif SC" w:eastAsia="Source Han Serif SC"/>
          <w:b w:val="0"/>
          <w:color w:val="242A30"/>
          <w:sz w:val="21"/>
        </w:rPr>
        <w:t>经论证和审批的原拆原建；</w:t>
      </w:r>
    </w:p>
    <w:p>
      <w:pPr>
        <w:pStyle w:val="ListBullet"/>
        <w:spacing w:after="60"/>
        <w:ind w:left="397" w:hanging="198"/>
      </w:pPr>
      <w:r>
        <w:rPr>
          <w:rFonts w:ascii="Source Han Serif SC" w:hAnsi="Source Han Serif SC" w:eastAsia="Source Han Serif SC"/>
          <w:b w:val="0"/>
          <w:color w:val="242A30"/>
          <w:sz w:val="21"/>
        </w:rPr>
        <w:t>成片或单套市场化收购；</w:t>
      </w:r>
    </w:p>
    <w:p>
      <w:pPr>
        <w:pStyle w:val="ListBullet"/>
        <w:spacing w:after="60"/>
        <w:ind w:left="397" w:hanging="198"/>
      </w:pPr>
      <w:r>
        <w:rPr>
          <w:rFonts w:ascii="Source Han Serif SC" w:hAnsi="Source Han Serif SC" w:eastAsia="Source Han Serif SC"/>
          <w:b w:val="0"/>
          <w:color w:val="242A30"/>
          <w:sz w:val="21"/>
        </w:rPr>
        <w:t>产权置换、商业物业置换、现金加物业组合；</w:t>
      </w:r>
    </w:p>
    <w:p>
      <w:pPr>
        <w:pStyle w:val="ListBullet"/>
        <w:spacing w:after="60"/>
        <w:ind w:left="397" w:hanging="198"/>
      </w:pPr>
      <w:r>
        <w:rPr>
          <w:rFonts w:ascii="Source Han Serif SC" w:hAnsi="Source Han Serif SC" w:eastAsia="Source Han Serif SC"/>
          <w:b w:val="0"/>
          <w:color w:val="242A30"/>
          <w:sz w:val="21"/>
        </w:rPr>
        <w:t>涉及其他业主出资、公共财政补助、规划指标和历史文化保护审批的综合方案。</w:t>
      </w:r>
    </w:p>
    <w:p>
      <w:r>
        <w:rPr>
          <w:rFonts w:ascii="Source Han Serif SC" w:hAnsi="Source Han Serif SC" w:eastAsia="Source Han Serif SC"/>
          <w:b w:val="0"/>
          <w:color w:val="242A30"/>
          <w:sz w:val="21"/>
        </w:rPr>
        <w:t>民事调解具有自愿性。只要协议内容合法、主体有处分权、第三人义务经本人同意，并把审批义务写成具体的申请、报送、补正和配合义务，法院可以将“一屋一策”、修缮更新、条件式原拆原建或收购置换写入调解书。它与直接判决的区别是：调解来自各方自愿处分和风险交换，法院不需要凭实体法单方面创设原拆原建或收购义务。</w:t>
      </w:r>
    </w:p>
    <w:p>
      <w:pPr>
        <w:pStyle w:val="Heading1"/>
      </w:pPr>
      <w:r>
        <w:rPr>
          <w:rFonts w:ascii="TsangerJinKai02" w:hAnsi="TsangerJinKai02" w:eastAsia="TsangerJinKai02"/>
          <w:b/>
          <w:color w:val="1B365D"/>
          <w:sz w:val="36"/>
        </w:rPr>
        <w:t>八、最终战略评分</w:t>
      </w:r>
    </w:p>
    <w:tbl>
      <w:tblPr>
        <w:tblW w:type="auto" w:w="0"/>
        <w:jc w:val="center"/>
        <w:tblLayout w:type="autofit"/>
        <w:tblLook w:firstColumn="1" w:firstRow="1" w:lastColumn="0" w:lastRow="0" w:noHBand="0" w:noVBand="1" w:val="04A0"/>
      </w:tblPr>
      <w:tblGrid>
        <w:gridCol w:w="3251"/>
        <w:gridCol w:w="3251"/>
        <w:gridCol w:w="3251"/>
      </w:tblGrid>
      <w:tr>
        <w:trPr>
          <w:tblHeader w:val="true"/>
        </w:trP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问题</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评分</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理由</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最新政策对原告整体是否有利</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78/100</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强化鉴定后治理、潮宗街持续修缮、闭环处置和多元解决路径；但不解决被告适格和因果证明。</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对抽象“恢复原状”诉请的帮助</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35/100</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提供治理背景，却不能补足“原状是什么、谁恢复、如何验收”的缺陷。</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对“恢复安全使用功能”的帮助</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82/100</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与危房分类治理、维修加固和复核销号高度一致；仍需技术方案和责任证据。</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对直接判令“有机更新”的帮助</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20/100</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属规划和项目管理概念，主体、范围、审批和执行标准不明。</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对直接判令“原拆原建”的帮助</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15/100</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政策允许但前置条件多，历史街区限制更严，不能直接转化为民事请求权。</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对法院推动整体调解的帮助</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90/100</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提供维修、加固、一屋一策、原拆原建、收购置换的合法方案库。</w:t>
            </w:r>
          </w:p>
        </w:tc>
      </w:tr>
      <w:tr>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对追加开福棚改投必要性的增量</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75/100</w:t>
            </w:r>
          </w:p>
        </w:tc>
        <w:tc>
          <w:tcPr>
            <w:tcW w:type="dxa" w:w="3251"/>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当目标升级为楼栋治理时，项目组织和履行能力变得关键；狭义侵入纠纷则增量有限。</w:t>
            </w:r>
          </w:p>
        </w:tc>
      </w:tr>
    </w:tbl>
    <w:p>
      <w:pPr>
        <w:spacing w:after="40"/>
      </w:pPr>
    </w:p>
    <w:p>
      <w:pPr>
        <w:pStyle w:val="Heading1"/>
      </w:pPr>
      <w:r>
        <w:rPr>
          <w:rFonts w:ascii="TsangerJinKai02" w:hAnsi="TsangerJinKai02" w:eastAsia="TsangerJinKai02"/>
          <w:b/>
          <w:color w:val="1B365D"/>
          <w:sz w:val="36"/>
        </w:rPr>
        <w:t>九、最终核心判断</w:t>
      </w:r>
    </w:p>
    <w:p>
      <w:r>
        <w:rPr>
          <w:rFonts w:ascii="Source Han Serif SC" w:hAnsi="Source Han Serif SC" w:eastAsia="Source Han Serif SC"/>
          <w:b w:val="0"/>
          <w:color w:val="242A30"/>
          <w:sz w:val="21"/>
        </w:rPr>
        <w:t>答案是肯定的，但必须使用得准确：长沙新政为本案提供的不是一张“直接判原拆原建”的民事权利凭证，而是一套从房屋体检、风险识别、临时防护、分类治理到复核销号的现实框架。原告应据此把抽象“恢复原状”改造为可归责、可勘验、可设计、可验收的“排除具体妨害＋恢复安全、正常使用功能”；要求科棚解释其行为权限及鉴定后的治理安排，要求开福棚改投提交既有管理改造职责下的处置资料；同时把“一屋一策”、依法修缮加固、条件式原拆原建和市场化收购置换放入调解阶梯。</w:t>
      </w:r>
    </w:p>
    <w:p>
      <w:r>
        <w:rPr>
          <w:rFonts w:ascii="Source Han Serif SC" w:hAnsi="Source Han Serif SC" w:eastAsia="Source Han Serif SC"/>
          <w:b w:val="0"/>
          <w:color w:val="242A30"/>
          <w:sz w:val="21"/>
        </w:rPr>
        <w:t>这样既能利用城市更新政策压缩“只鉴定、只围挡、不治理”的空间，又不会把排除妨害案件错误地变成由民事法官直接实施城市更新项目的案件。</w:t>
      </w:r>
    </w:p>
    <w:p>
      <w:pPr>
        <w:pStyle w:val="Heading1"/>
      </w:pPr>
      <w:r>
        <w:rPr>
          <w:rFonts w:ascii="TsangerJinKai02" w:hAnsi="TsangerJinKai02" w:eastAsia="TsangerJinKai02"/>
          <w:b/>
          <w:color w:val="1B365D"/>
          <w:sz w:val="36"/>
        </w:rPr>
        <w:t>十、最终自检</w:t>
      </w:r>
    </w:p>
    <w:tbl>
      <w:tblPr>
        <w:tblW w:type="auto" w:w="0"/>
        <w:jc w:val="center"/>
        <w:tblLayout w:type="autofit"/>
        <w:tblLook w:firstColumn="1" w:firstRow="1" w:lastColumn="0" w:lastRow="0" w:noHBand="0" w:noVBand="1" w:val="04A0"/>
      </w:tblPr>
      <w:tblGrid>
        <w:gridCol w:w="4876"/>
        <w:gridCol w:w="4876"/>
      </w:tblGrid>
      <w:tr>
        <w:trPr>
          <w:tblHeader w:val="true"/>
        </w:trP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检查项</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结论</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是否以截至2026年8月的最新政策为准</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是。核心方案、规划征求意见稿及8月最新历史文化街区办法均核验；后者明确标注尚未施行。</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是否引用官方原文并分A/B/C效力</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是。法律法规、政策文件、规划草案/新闻案例严格分层。</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是否把政策误当直接民事请求权</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否。一屋一策、有机更新、原拆原建、收购均未直接推导为科棚法定义务。</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是否错误认为C级必须拆除或只能围挡</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否。明确C级应进入分类治理，维修加固、拆除重建等均可能。</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是否错误认为原拆原建无需审批</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否。明确业主决策、资金、保护、规划、建设、施工和登记程序。</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是否忽略潮宗街历史文化街区限制</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否。核验“老城不能再拆”、严禁借危房违法拆改及保护审查。</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是否准确理解“一屋一策”</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是。区分2026年精细保护方法与2023年个案“一房一策”督办证据。</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是否区分判决与调解</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是。判决解决具体妨害和可验收结果；综合更新、原拆原建、收购置换优先调解。</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是否考虑B/Bsu历史基准</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是。纠正为2022 C/Csu—2023加固后主体结构B级，并设置可比性门槛。</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是否把“恢复原状”改造成明确结果</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是。推荐“排除具体妨害＋修复具体损坏＋恢复安全、正常使用功能”。</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是否分析执行</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是。点位、主体、期限、设计、审批、验收、复鉴和违约均纳入。</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是否区分开福棚改投与科棚角色</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是。前者有既有管理改造职责证据；后者仅按行为、授权和合同证据认定。</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是否研究12号长期未进入正常治理</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是。给出四种待证情形及项目库、一房一策、销号、采购清单等取证路径。</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是否给出可操作建议</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是。包含诉请文本、追加判断、五类调解方案、调解梯度和调查取证清单。</w:t>
            </w:r>
          </w:p>
        </w:tc>
      </w:tr>
    </w:tbl>
    <w:p>
      <w:pPr>
        <w:spacing w:after="40"/>
      </w:pPr>
    </w:p>
    <w:p>
      <w:pPr>
        <w:pStyle w:val="Heading1"/>
      </w:pPr>
      <w:r>
        <w:rPr>
          <w:rFonts w:ascii="TsangerJinKai02" w:hAnsi="TsangerJinKai02" w:eastAsia="TsangerJinKai02"/>
          <w:b/>
          <w:color w:val="1B365D"/>
          <w:sz w:val="36"/>
        </w:rPr>
        <w:t>十一、官方来源索引</w:t>
      </w:r>
    </w:p>
    <w:p>
      <w:pPr>
        <w:pStyle w:val="ListNumber"/>
        <w:spacing w:after="60"/>
        <w:ind w:left="397" w:hanging="198"/>
      </w:pPr>
      <w:r>
        <w:rPr>
          <w:rFonts w:ascii="Source Han Serif SC" w:hAnsi="Source Han Serif SC" w:eastAsia="Source Han Serif SC"/>
          <w:b w:val="0"/>
          <w:color w:val="242A30"/>
          <w:sz w:val="21"/>
        </w:rPr>
        <w:t>长沙市人民政府：《长沙市全面推进城市更新行动方案（2026—2030年）》：</w:t>
      </w:r>
      <w:hyperlink r:id="rId11">
        <w:r>
          <w:rPr>
            <w:rFonts w:ascii="Source Han Sans SC" w:hAnsi="Source Han Sans SC" w:eastAsia="Source Han Sans SC"/>
            <w:color w:val="284F76"/>
            <w:u w:val="single"/>
          </w:rPr>
          <w:t>https://rjhj.changsha.gov.cn/xxgk/xxgkml_46104/lzyj/gfxwj_141104/202604/t20260401_12350336.html</w:t>
        </w:r>
      </w:hyperlink>
    </w:p>
    <w:p>
      <w:pPr>
        <w:pStyle w:val="ListNumber"/>
        <w:spacing w:after="60"/>
        <w:ind w:left="397" w:hanging="198"/>
      </w:pPr>
      <w:r>
        <w:rPr>
          <w:rFonts w:ascii="Source Han Serif SC" w:hAnsi="Source Han Serif SC" w:eastAsia="Source Han Serif SC"/>
          <w:b w:val="0"/>
          <w:color w:val="242A30"/>
          <w:sz w:val="21"/>
        </w:rPr>
        <w:t>长沙市人民政府：《关于进一步加快推进城镇危旧房屋改造工作的实施意见》：</w:t>
      </w:r>
      <w:hyperlink r:id="rId12">
        <w:r>
          <w:rPr>
            <w:rFonts w:ascii="Source Han Sans SC" w:hAnsi="Source Han Sans SC" w:eastAsia="Source Han Sans SC"/>
            <w:color w:val="284F76"/>
            <w:u w:val="single"/>
          </w:rPr>
          <w:t>https://www.changsha.gov.cn/zfxxgk/zfwjk/szfbgt/202306/t20230625_11143868.html</w:t>
        </w:r>
      </w:hyperlink>
    </w:p>
    <w:p>
      <w:pPr>
        <w:pStyle w:val="ListNumber"/>
        <w:spacing w:after="60"/>
        <w:ind w:left="397" w:hanging="198"/>
      </w:pPr>
      <w:r>
        <w:rPr>
          <w:rFonts w:ascii="Source Han Serif SC" w:hAnsi="Source Han Serif SC" w:eastAsia="Source Han Serif SC"/>
          <w:b w:val="0"/>
          <w:color w:val="242A30"/>
          <w:sz w:val="21"/>
        </w:rPr>
        <w:t>长沙市人民政府：《长沙市城市更新专项规划（2026—2030年）》公开征求意见：</w:t>
      </w:r>
      <w:hyperlink r:id="rId13">
        <w:r>
          <w:rPr>
            <w:rFonts w:ascii="Source Han Sans SC" w:hAnsi="Source Han Sans SC" w:eastAsia="Source Han Sans SC"/>
            <w:color w:val="284F76"/>
            <w:u w:val="single"/>
          </w:rPr>
          <w:t>https://rjhj.changsha.gov.cn/xxgk/xxgkml_46104/zdjc/202606/t20260622_12416323.html</w:t>
        </w:r>
      </w:hyperlink>
    </w:p>
    <w:p>
      <w:pPr>
        <w:pStyle w:val="ListNumber"/>
        <w:spacing w:after="60"/>
        <w:ind w:left="397" w:hanging="198"/>
      </w:pPr>
      <w:r>
        <w:rPr>
          <w:rFonts w:ascii="Source Han Serif SC" w:hAnsi="Source Han Serif SC" w:eastAsia="Source Han Serif SC"/>
          <w:b w:val="0"/>
          <w:color w:val="242A30"/>
          <w:sz w:val="21"/>
        </w:rPr>
        <w:t>长沙市人民政府：《长沙市历史文化街区保护管理办法》：</w:t>
      </w:r>
      <w:hyperlink r:id="rId14">
        <w:r>
          <w:rPr>
            <w:rFonts w:ascii="Source Han Sans SC" w:hAnsi="Source Han Sans SC" w:eastAsia="Source Han Sans SC"/>
            <w:color w:val="284F76"/>
            <w:u w:val="single"/>
          </w:rPr>
          <w:t>https://rjhj.changsha.gov.cn/xxgk/xxgkml_46104/lzyj/zcwj/202608/t20260811_12522358.html</w:t>
        </w:r>
      </w:hyperlink>
    </w:p>
    <w:p>
      <w:pPr>
        <w:pStyle w:val="ListNumber"/>
        <w:spacing w:after="60"/>
        <w:ind w:left="397" w:hanging="198"/>
      </w:pPr>
      <w:r>
        <w:rPr>
          <w:rFonts w:ascii="Source Han Serif SC" w:hAnsi="Source Han Serif SC" w:eastAsia="Source Han Serif SC"/>
          <w:b w:val="0"/>
          <w:color w:val="242A30"/>
          <w:sz w:val="21"/>
        </w:rPr>
        <w:t>湖南省人民政府：《关于持续推进城市更新行动的实施意见》：</w:t>
      </w:r>
      <w:hyperlink r:id="rId15">
        <w:r>
          <w:rPr>
            <w:rFonts w:ascii="Source Han Sans SC" w:hAnsi="Source Han Sans SC" w:eastAsia="Source Han Sans SC"/>
            <w:color w:val="284F76"/>
            <w:u w:val="single"/>
          </w:rPr>
          <w:t>https://www.hunan.gov.cn/xxgk/wjk/szfbgt/202512/t20251212_33869172.html</w:t>
        </w:r>
      </w:hyperlink>
    </w:p>
    <w:p>
      <w:pPr>
        <w:pStyle w:val="ListNumber"/>
        <w:spacing w:after="60"/>
        <w:ind w:left="397" w:hanging="198"/>
      </w:pPr>
      <w:r>
        <w:rPr>
          <w:rFonts w:ascii="Source Han Serif SC" w:hAnsi="Source Han Serif SC" w:eastAsia="Source Han Serif SC"/>
          <w:b w:val="0"/>
          <w:color w:val="242A30"/>
          <w:sz w:val="21"/>
        </w:rPr>
        <w:t>湖南省住房和城乡建设厅：老旧住房自主更新、原拆原建试点通知：</w:t>
      </w:r>
      <w:hyperlink r:id="rId16">
        <w:r>
          <w:rPr>
            <w:rFonts w:ascii="Source Han Sans SC" w:hAnsi="Source Han Sans SC" w:eastAsia="Source Han Sans SC"/>
            <w:color w:val="284F76"/>
            <w:u w:val="single"/>
          </w:rPr>
          <w:t>https://zjt.hunan.gov.cn/zjt/xxgk/xinxigongkaimulu/tzgg/tzgg2zhyw/202509/t20250904_34004748.html</w:t>
        </w:r>
      </w:hyperlink>
    </w:p>
    <w:p>
      <w:pPr>
        <w:pStyle w:val="ListNumber"/>
        <w:spacing w:after="60"/>
        <w:ind w:left="397" w:hanging="198"/>
      </w:pPr>
      <w:r>
        <w:rPr>
          <w:rFonts w:ascii="Source Han Serif SC" w:hAnsi="Source Han Serif SC" w:eastAsia="Source Han Serif SC"/>
          <w:b w:val="0"/>
          <w:color w:val="242A30"/>
          <w:sz w:val="21"/>
        </w:rPr>
        <w:t>湖南省住房和城乡建设厅：2026年度城市更新专项资金申报通知：</w:t>
      </w:r>
      <w:hyperlink r:id="rId17">
        <w:r>
          <w:rPr>
            <w:rFonts w:ascii="Source Han Sans SC" w:hAnsi="Source Han Sans SC" w:eastAsia="Source Han Sans SC"/>
            <w:color w:val="284F76"/>
            <w:u w:val="single"/>
          </w:rPr>
          <w:t>https://zjt.hunan.gov.cn/zjt/xxgk/xinxigongkaimulu/czxx/zxzj/202602/t20260224_33919346.html</w:t>
        </w:r>
      </w:hyperlink>
    </w:p>
    <w:p>
      <w:pPr>
        <w:pStyle w:val="ListNumber"/>
        <w:spacing w:after="60"/>
        <w:ind w:left="397" w:hanging="198"/>
      </w:pPr>
      <w:r>
        <w:rPr>
          <w:rFonts w:ascii="Source Han Serif SC" w:hAnsi="Source Han Serif SC" w:eastAsia="Source Han Serif SC"/>
          <w:b w:val="0"/>
          <w:color w:val="242A30"/>
          <w:sz w:val="21"/>
        </w:rPr>
        <w:t>湖南省住房和城乡建设厅：湘农桥、潮宗街等城市更新案例：</w:t>
      </w:r>
      <w:hyperlink r:id="rId18">
        <w:r>
          <w:rPr>
            <w:rFonts w:ascii="Source Han Sans SC" w:hAnsi="Source Han Sans SC" w:eastAsia="Source Han Sans SC"/>
            <w:color w:val="284F76"/>
            <w:u w:val="single"/>
          </w:rPr>
          <w:t>https://zjt.hunan.gov.cn/zjt/gzdt/xwzx/202605/t20260529_33989858.html</w:t>
        </w:r>
      </w:hyperlink>
    </w:p>
    <w:p>
      <w:pPr>
        <w:pStyle w:val="ListNumber"/>
        <w:spacing w:after="60"/>
        <w:ind w:left="397" w:hanging="198"/>
      </w:pPr>
      <w:r>
        <w:rPr>
          <w:rFonts w:ascii="Source Han Serif SC" w:hAnsi="Source Han Serif SC" w:eastAsia="Source Han Serif SC"/>
          <w:b w:val="0"/>
          <w:color w:val="242A30"/>
          <w:sz w:val="21"/>
        </w:rPr>
        <w:t>湖南省人大常委会：《长沙市房屋安全管理条例》批准信息：</w:t>
      </w:r>
      <w:hyperlink r:id="rId19">
        <w:r>
          <w:rPr>
            <w:rFonts w:ascii="Source Han Sans SC" w:hAnsi="Source Han Sans SC" w:eastAsia="Source Han Sans SC"/>
            <w:color w:val="284F76"/>
            <w:u w:val="single"/>
          </w:rPr>
          <w:t>https://www.hnrd.gov.cn/content/2015/12/22/7260245.html</w:t>
        </w:r>
      </w:hyperlink>
    </w:p>
    <w:p>
      <w:pPr>
        <w:pStyle w:val="ListNumber"/>
        <w:spacing w:after="60"/>
        <w:ind w:left="397" w:hanging="198"/>
      </w:pPr>
      <w:r>
        <w:rPr>
          <w:rFonts w:ascii="Source Han Serif SC" w:hAnsi="Source Han Serif SC" w:eastAsia="Source Han Serif SC"/>
          <w:b w:val="0"/>
          <w:color w:val="242A30"/>
          <w:sz w:val="21"/>
        </w:rPr>
        <w:t>湖南省人大常委会：《长沙市历史文化名城保护条例》批准信息：</w:t>
      </w:r>
      <w:hyperlink r:id="rId20">
        <w:r>
          <w:rPr>
            <w:rFonts w:ascii="Source Han Sans SC" w:hAnsi="Source Han Sans SC" w:eastAsia="Source Han Sans SC"/>
            <w:color w:val="284F76"/>
            <w:u w:val="single"/>
          </w:rPr>
          <w:t>https://www.hnrd.gov.cn/content/2006/07/22/7267205.html</w:t>
        </w:r>
      </w:hyperlink>
    </w:p>
    <w:p>
      <w:pPr>
        <w:spacing w:before="80" w:after="120"/>
        <w:pBdr>
          <w:bottom w:val="single" w:sz="8" w:space="1" w:color="A97732"/>
        </w:pBdr>
      </w:pPr>
    </w:p>
    <w:p>
      <w:r>
        <w:rPr>
          <w:rFonts w:ascii="Source Han Serif SC" w:hAnsi="Source Han Serif SC" w:eastAsia="Source Han Serif SC"/>
          <w:b/>
          <w:color w:val="1B365D"/>
          <w:sz w:val="21"/>
        </w:rPr>
        <w:t>审慎声明：</w:t>
      </w:r>
      <w:r>
        <w:rPr>
          <w:rFonts w:ascii="Source Han Serif SC" w:hAnsi="Source Han Serif SC" w:eastAsia="Source Han Serif SC"/>
          <w:b w:val="0"/>
          <w:color w:val="242A30"/>
          <w:sz w:val="21"/>
        </w:rPr>
        <w:t>本报告为诉讼策略研究，不替代对完整卷宗、原件、现场和工程技术资料的审查。凡涉及科棚、开福棚改投、北城资产及行政机关的具体义务，均须以合同、授权、项目批复、生效裁判、实际行为和因果证据为准。</w:t>
      </w:r>
    </w:p>
    <w:sectPr w:rsidR="00FC693F" w:rsidRPr="0006063C" w:rsidSect="00034616">
      <w:headerReference w:type="default" r:id="rId9"/>
      <w:footerReference w:type="default" r:id="rId10"/>
      <w:pgSz w:w="11906" w:h="16838"/>
      <w:pgMar w:top="1077" w:right="1020" w:bottom="964"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b w:val="0"/>
        <w:color w:val="66717B"/>
        <w:sz w:val="16"/>
      </w:rPr>
      <w:t xml:space="preserve">2026.08.13  ·  </w:t>
    </w:r>
    <w:r>
      <w:rPr>
        <w:rFonts w:ascii="Source Han Sans SC" w:hAnsi="Source Han Sans SC" w:eastAsia="Source Han Sans SC"/>
        <w:b w:val="0"/>
        <w:color w:val="66717B"/>
        <w:sz w:val="16"/>
      </w:rPr>
      <w:fldChar w:fldCharType="begin"/>
      <w:instrText xml:space="preserve">PAGE</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5" w:space="5" w:color="B4AD9B"/>
      </w:pBdr>
    </w:pPr>
    <w:r>
      <w:rPr>
        <w:rFonts w:ascii="Source Han Sans SC" w:hAnsi="Source Han Sans SC" w:eastAsia="Source Han Sans SC"/>
        <w:b w:val="0"/>
        <w:color w:val="66717B"/>
        <w:sz w:val="16"/>
      </w:rPr>
      <w:t>楠木厅12号案 · 城市更新政策专题</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48" w:lineRule="auto" w:after="100"/>
    </w:pPr>
    <w:rPr>
      <w:rFonts w:ascii="Source Han Serif SC" w:hAnsi="Source Han Serif SC" w:eastAsia="Source Han Serif SC"/>
      <w:color w:val="242A3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180"/>
      <w:outlineLvl w:val="0"/>
    </w:pPr>
    <w:rPr>
      <w:rFonts w:asciiTheme="majorHAnsi" w:eastAsiaTheme="majorEastAsia" w:hAnsiTheme="majorHAnsi" w:cstheme="majorBidi" w:ascii="TsangerJinKai02" w:hAnsi="TsangerJinKai02" w:eastAsia="TsangerJinKai02"/>
      <w:b/>
      <w:bCs/>
      <w:color w:val="1B365D"/>
      <w:sz w:val="36"/>
      <w:szCs w:val="28"/>
    </w:rPr>
  </w:style>
  <w:style w:type="paragraph" w:styleId="Heading2">
    <w:name w:val="heading 2"/>
    <w:basedOn w:val="Normal"/>
    <w:next w:val="Normal"/>
    <w:link w:val="Heading2Char"/>
    <w:uiPriority w:val="9"/>
    <w:unhideWhenUsed/>
    <w:qFormat/>
    <w:rsid w:val="00FC693F"/>
    <w:pPr>
      <w:keepNext/>
      <w:keepLines/>
      <w:widowControl/>
      <w:spacing w:before="280" w:after="120"/>
      <w:outlineLvl w:val="1"/>
    </w:pPr>
    <w:rPr>
      <w:rFonts w:asciiTheme="majorHAnsi" w:eastAsiaTheme="majorEastAsia" w:hAnsiTheme="majorHAnsi" w:cstheme="majorBidi" w:ascii="TsangerJinKai02" w:hAnsi="TsangerJinKai02" w:eastAsia="TsangerJinKai02"/>
      <w:b/>
      <w:bCs/>
      <w:color w:val="1B365D"/>
      <w:sz w:val="28"/>
      <w:szCs w:val="26"/>
    </w:rPr>
  </w:style>
  <w:style w:type="paragraph" w:styleId="Heading3">
    <w:name w:val="heading 3"/>
    <w:basedOn w:val="Normal"/>
    <w:next w:val="Normal"/>
    <w:link w:val="Heading3Char"/>
    <w:uiPriority w:val="9"/>
    <w:unhideWhenUsed/>
    <w:qFormat/>
    <w:rsid w:val="00FC693F"/>
    <w:pPr>
      <w:keepNext/>
      <w:keepLines/>
      <w:widowControl/>
      <w:spacing w:before="200" w:after="80"/>
      <w:outlineLvl w:val="2"/>
    </w:pPr>
    <w:rPr>
      <w:rFonts w:asciiTheme="majorHAnsi" w:eastAsiaTheme="majorEastAsia" w:hAnsiTheme="majorHAnsi" w:cstheme="majorBidi" w:ascii="Source Han Sans SC" w:hAnsi="Source Han Sans SC" w:eastAsia="Source Han Sans SC"/>
      <w:b/>
      <w:bCs/>
      <w:color w:val="284F7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ullQuote">
    <w:name w:val="Pull Quote"/>
    <w:pPr>
      <w:spacing w:before="100" w:after="140"/>
      <w:ind w:left="397" w:right="283"/>
    </w:pPr>
    <w:rPr>
      <w:rFonts w:ascii="TsangerJinKai02" w:hAnsi="TsangerJinKai02" w:eastAsia="TsangerJinKai02"/>
      <w:color w:val="1B365D"/>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rjhj.changsha.gov.cn/xxgk/xxgkml_46104/lzyj/gfxwj_141104/202604/t20260401_12350336.html" TargetMode="External"/><Relationship Id="rId12" Type="http://schemas.openxmlformats.org/officeDocument/2006/relationships/hyperlink" Target="https://www.changsha.gov.cn/zfxxgk/zfwjk/szfbgt/202306/t20230625_11143868.html" TargetMode="External"/><Relationship Id="rId13" Type="http://schemas.openxmlformats.org/officeDocument/2006/relationships/hyperlink" Target="https://rjhj.changsha.gov.cn/xxgk/xxgkml_46104/zdjc/202606/t20260622_12416323.html" TargetMode="External"/><Relationship Id="rId14" Type="http://schemas.openxmlformats.org/officeDocument/2006/relationships/hyperlink" Target="https://rjhj.changsha.gov.cn/xxgk/xxgkml_46104/lzyj/zcwj/202608/t20260811_12522358.html" TargetMode="External"/><Relationship Id="rId15" Type="http://schemas.openxmlformats.org/officeDocument/2006/relationships/hyperlink" Target="https://www.hunan.gov.cn/xxgk/wjk/szfbgt/202512/t20251212_33869172.html" TargetMode="External"/><Relationship Id="rId16" Type="http://schemas.openxmlformats.org/officeDocument/2006/relationships/hyperlink" Target="https://zjt.hunan.gov.cn/zjt/xxgk/xinxigongkaimulu/tzgg/tzgg2zhyw/202509/t20250904_34004748.html" TargetMode="External"/><Relationship Id="rId17" Type="http://schemas.openxmlformats.org/officeDocument/2006/relationships/hyperlink" Target="https://zjt.hunan.gov.cn/zjt/xxgk/xinxigongkaimulu/czxx/zxzj/202602/t20260224_33919346.html" TargetMode="External"/><Relationship Id="rId18" Type="http://schemas.openxmlformats.org/officeDocument/2006/relationships/hyperlink" Target="https://zjt.hunan.gov.cn/zjt/gzdt/xwzx/202605/t20260529_33989858.html" TargetMode="External"/><Relationship Id="rId19" Type="http://schemas.openxmlformats.org/officeDocument/2006/relationships/hyperlink" Target="https://www.hnrd.gov.cn/content/2015/12/22/7260245.html" TargetMode="External"/><Relationship Id="rId20" Type="http://schemas.openxmlformats.org/officeDocument/2006/relationships/hyperlink" Target="https://www.hnrd.gov.cn/content/2006/07/22/726720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长沙城市更新政策对本案影响专题分析</dc:title>
  <dc:subject>楠木厅12号排除妨害案 · 长沙城市更新政策专题研究</dc:subject>
  <dc:creator>诉讼专题研究工作稿</dc:creator>
  <cp:keywords>长沙城市更新, 楠木厅12号, 排除妨害, 危旧房, 潮宗街</cp:keywords>
  <dc:description>研究基准日：2026年8月13日</dc:description>
  <cp:lastModifiedBy/>
  <cp:revision>1</cp:revision>
  <dcterms:created xsi:type="dcterms:W3CDTF">2013-12-23T23:15:00Z</dcterms:created>
  <dcterms:modified xsi:type="dcterms:W3CDTF">2013-12-23T23:15:00Z</dcterms:modified>
  <cp:category/>
</cp:coreProperties>
</file>