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spacing w:before="1100"/>
        <w:jc w:val="left"/>
      </w:pPr>
      <w:r>
        <w:rPr>
          <w:rFonts w:ascii="Source Han Sans SC" w:hAnsi="Source Han Sans SC" w:eastAsia="Source Han Sans SC"/>
          <w:b/>
          <w:color w:val="A97732"/>
          <w:sz w:val="20"/>
        </w:rPr>
        <w:t>专题研究</w:t>
      </w:r>
    </w:p>
    <w:p>
      <w:pPr>
        <w:spacing w:before="400" w:after="360"/>
      </w:pPr>
      <w:r>
        <w:rPr>
          <w:rFonts w:ascii="TsangerJinKai02" w:hAnsi="TsangerJinKai02" w:eastAsia="TsangerJinKai02"/>
          <w:b/>
          <w:color w:val="1B365D"/>
          <w:sz w:val="54"/>
        </w:rPr>
        <w:t>法院调解方案设计</w:t>
      </w:r>
    </w:p>
    <w:p>
      <w:pPr>
        <w:spacing w:after="800"/>
      </w:pPr>
      <w:r>
        <w:rPr>
          <w:rFonts w:ascii="Source Han Sans SC" w:hAnsi="Source Han Sans SC" w:eastAsia="Source Han Sans SC"/>
          <w:b w:val="0"/>
          <w:color w:val="284F76"/>
          <w:sz w:val="24"/>
        </w:rPr>
        <w:t>五类方案 · 五档梯度 · 条款与模拟</w:t>
      </w:r>
    </w:p>
    <w:tbl>
      <w:tblPr>
        <w:tblW w:type="auto" w:w="0"/>
        <w:jc w:val="left"/>
        <w:tblLayout w:type="fixed"/>
        <w:tblLook w:firstColumn="1" w:firstRow="1" w:lastColumn="0" w:lastRow="0" w:noHBand="0" w:noVBand="1" w:val="04A0"/>
      </w:tblPr>
      <w:tblGrid>
        <w:gridCol w:w="8787"/>
      </w:tblGrid>
      <w:tr>
        <w:tc>
          <w:tcPr>
            <w:tcW w:type="dxa" w:w="9752"/>
            <w:shd w:fill="1B365D"/>
            <w:tcMar>
              <w:top w:w="180" w:type="dxa"/>
              <w:start w:w="220" w:type="dxa"/>
              <w:bottom w:w="180" w:type="dxa"/>
              <w:end w:w="220" w:type="dxa"/>
            </w:tcMar>
          </w:tcPr>
          <w:p>
            <w:pPr>
              <w:spacing w:after="40"/>
            </w:pPr>
            <w:r>
              <w:rPr>
                <w:rFonts w:ascii="Source Han Sans SC" w:hAnsi="Source Han Sans SC" w:eastAsia="Source Han Sans SC"/>
                <w:b/>
                <w:color w:val="FFFFFF"/>
                <w:sz w:val="22"/>
              </w:rPr>
              <w:t>李运芳诉长沙科棚潮宗街商业管理有限公司</w:t>
            </w:r>
          </w:p>
          <w:p>
            <w:pPr>
              <w:spacing w:after="40"/>
            </w:pPr>
            <w:r>
              <w:rPr>
                <w:rFonts w:ascii="Source Han Sans SC" w:hAnsi="Source Han Sans SC" w:eastAsia="Source Han Sans SC"/>
                <w:b w:val="0"/>
                <w:color w:val="FFFFFF"/>
                <w:sz w:val="20"/>
              </w:rPr>
              <w:t>排除妨害纠纷 · 楠木厅巷12号东301房及所在楼栋</w:t>
            </w:r>
          </w:p>
        </w:tc>
      </w:tr>
    </w:tbl>
    <w:p>
      <w:pPr>
        <w:spacing w:before="1600"/>
      </w:pPr>
      <w:r>
        <w:rPr>
          <w:rFonts w:ascii="Source Han Sans SC" w:hAnsi="Source Han Sans SC" w:eastAsia="Source Han Sans SC"/>
          <w:b/>
          <w:color w:val="66717B"/>
          <w:sz w:val="18"/>
        </w:rPr>
        <w:t>研究基准日</w:t>
      </w:r>
      <w:r>
        <w:br/>
      </w:r>
      <w:r>
        <w:rPr>
          <w:rFonts w:ascii="TsangerJinKai02" w:hAnsi="TsangerJinKai02" w:eastAsia="TsangerJinKai02"/>
          <w:b/>
          <w:color w:val="1B365D"/>
          <w:sz w:val="28"/>
        </w:rPr>
        <w:t>2026年8月13日</w:t>
      </w:r>
    </w:p>
    <w:p>
      <w:pPr>
        <w:spacing w:before="280"/>
      </w:pPr>
      <w:r>
        <w:rPr>
          <w:rFonts w:ascii="Source Han Sans SC" w:hAnsi="Source Han Sans SC" w:eastAsia="Source Han Sans SC"/>
          <w:b w:val="0"/>
          <w:color w:val="66717B"/>
          <w:sz w:val="17"/>
        </w:rPr>
        <w:t>文件定位：诉讼策略研究 · 非鉴定意见 · 非个案裁判结论</w:t>
      </w:r>
    </w:p>
    <w:p>
      <w:r>
        <w:br w:type="page"/>
      </w:r>
    </w:p>
    <w:p>
      <w:pPr>
        <w:pStyle w:val="Heading1"/>
      </w:pPr>
      <w:r>
        <w:rPr>
          <w:rFonts w:ascii="TsangerJinKai02" w:hAnsi="TsangerJinKai02" w:eastAsia="TsangerJinKai02"/>
          <w:b/>
          <w:color w:val="1B365D"/>
          <w:sz w:val="36"/>
        </w:rPr>
        <w:t>楠木厅12号排除妨害案的一揽子化解路径</w:t>
      </w:r>
    </w:p>
    <w:p>
      <w:r>
        <w:rPr>
          <w:rFonts w:ascii="Source Han Sans SC" w:hAnsi="Source Han Sans SC" w:eastAsia="Source Han Sans SC"/>
          <w:b/>
          <w:color w:val="284F76"/>
          <w:sz w:val="19"/>
        </w:rPr>
        <w:t>设计基准日：2026年8月13日</w:t>
      </w:r>
    </w:p>
    <w:p>
      <w:pPr>
        <w:pStyle w:val="Heading1"/>
      </w:pPr>
      <w:r>
        <w:rPr>
          <w:rFonts w:ascii="TsangerJinKai02" w:hAnsi="TsangerJinKai02" w:eastAsia="TsangerJinKai02"/>
          <w:b/>
          <w:color w:val="1B365D"/>
          <w:sz w:val="36"/>
        </w:rPr>
        <w:t>一、法官调解的基本判断</w:t>
      </w:r>
    </w:p>
    <w:p>
      <w:r>
        <w:rPr>
          <w:rFonts w:ascii="Source Han Serif SC" w:hAnsi="Source Han Serif SC" w:eastAsia="Source Han Serif SC"/>
          <w:b w:val="0"/>
          <w:color w:val="242A30"/>
          <w:sz w:val="21"/>
        </w:rPr>
        <w:t>本案不宜只围绕一次钻孔是否侵权进行“赔多少钱”的窄调解。真正持续产生纠纷的是：原告产权仍在，房屋现实难以使用；楼栋经历C/Csu鉴定和加固，当前安全与功能状态不透明；科棚参与涉案事务的权限和责任边界不清；开福棚改投又有既有管理改造职责；潮宗街正在持续保护修缮。</w:t>
      </w:r>
    </w:p>
    <w:p>
      <w:r>
        <w:rPr>
          <w:rFonts w:ascii="Source Han Serif SC" w:hAnsi="Source Han Serif SC" w:eastAsia="Source Han Serif SC"/>
          <w:b w:val="0"/>
          <w:color w:val="242A30"/>
          <w:sz w:val="21"/>
        </w:rPr>
        <w:t>法官应把纠纷拆成三层：</w:t>
      </w:r>
    </w:p>
    <w:p>
      <w:pPr>
        <w:pStyle w:val="ListNumber"/>
        <w:spacing w:after="60"/>
        <w:ind w:left="397" w:hanging="198"/>
      </w:pPr>
      <w:r>
        <w:rPr>
          <w:rFonts w:ascii="Source Han Serif SC" w:hAnsi="Source Han Serif SC" w:eastAsia="Source Han Serif SC"/>
          <w:b/>
          <w:color w:val="1B365D"/>
          <w:sz w:val="21"/>
        </w:rPr>
        <w:t>立即可解决的妨害</w:t>
      </w:r>
      <w:r>
        <w:rPr>
          <w:rFonts w:ascii="Source Han Serif SC" w:hAnsi="Source Han Serif SC" w:eastAsia="Source Han Serif SC"/>
          <w:b w:val="0"/>
          <w:color w:val="242A30"/>
          <w:sz w:val="21"/>
        </w:rPr>
        <w:t>：钻孔、垃圾、排水、围挡、通行。</w:t>
      </w:r>
    </w:p>
    <w:p>
      <w:pPr>
        <w:pStyle w:val="ListNumber"/>
        <w:spacing w:after="60"/>
        <w:ind w:left="397" w:hanging="198"/>
      </w:pPr>
      <w:r>
        <w:rPr>
          <w:rFonts w:ascii="Source Han Serif SC" w:hAnsi="Source Han Serif SC" w:eastAsia="Source Han Serif SC"/>
          <w:b/>
          <w:color w:val="1B365D"/>
          <w:sz w:val="21"/>
        </w:rPr>
        <w:t>需要工程闭环的安全和功能</w:t>
      </w:r>
      <w:r>
        <w:rPr>
          <w:rFonts w:ascii="Source Han Serif SC" w:hAnsi="Source Han Serif SC" w:eastAsia="Source Han Serif SC"/>
          <w:b w:val="0"/>
          <w:color w:val="242A30"/>
          <w:sz w:val="21"/>
        </w:rPr>
        <w:t>：调查、方案、修缮加固、验收、复鉴、销号。</w:t>
      </w:r>
    </w:p>
    <w:p>
      <w:pPr>
        <w:pStyle w:val="ListNumber"/>
        <w:spacing w:after="60"/>
        <w:ind w:left="397" w:hanging="198"/>
      </w:pPr>
      <w:r>
        <w:rPr>
          <w:rFonts w:ascii="Source Han Serif SC" w:hAnsi="Source Han Serif SC" w:eastAsia="Source Han Serif SC"/>
          <w:b/>
          <w:color w:val="1B365D"/>
          <w:sz w:val="21"/>
        </w:rPr>
        <w:t>需要处分与项目条件的终局安排</w:t>
      </w:r>
      <w:r>
        <w:rPr>
          <w:rFonts w:ascii="Source Han Serif SC" w:hAnsi="Source Han Serif SC" w:eastAsia="Source Han Serif SC"/>
          <w:b w:val="0"/>
          <w:color w:val="242A30"/>
          <w:sz w:val="21"/>
        </w:rPr>
        <w:t>：一屋一策、原拆原建、收购、置换。</w:t>
      </w:r>
    </w:p>
    <w:p>
      <w:r>
        <w:rPr>
          <w:rFonts w:ascii="Source Han Serif SC" w:hAnsi="Source Han Serif SC" w:eastAsia="Source Han Serif SC"/>
          <w:b w:val="0"/>
          <w:color w:val="242A30"/>
          <w:sz w:val="21"/>
        </w:rPr>
        <w:t>调解可以比判决走得更远，但不能写成无法执行的政治口号。任何第三方义务必须由第三方签字；任何需审批的事项都不能承诺“保证审批通过”，而应承诺在固定期限内完成申请、报送、补正、配合及未获批后的替代方案。</w:t>
      </w:r>
    </w:p>
    <w:p>
      <w:pPr>
        <w:pStyle w:val="Heading1"/>
      </w:pPr>
      <w:r>
        <w:rPr>
          <w:rFonts w:ascii="TsangerJinKai02" w:hAnsi="TsangerJinKai02" w:eastAsia="TsangerJinKai02"/>
          <w:b/>
          <w:color w:val="1B365D"/>
          <w:sz w:val="36"/>
        </w:rPr>
        <w:t>二、调解方案一：基础恢复型</w:t>
      </w:r>
    </w:p>
    <w:p>
      <w:pPr>
        <w:pStyle w:val="Heading2"/>
      </w:pPr>
      <w:r>
        <w:rPr>
          <w:rFonts w:ascii="TsangerJinKai02" w:hAnsi="TsangerJinKai02" w:eastAsia="TsangerJinKai02"/>
          <w:b/>
          <w:color w:val="1B365D"/>
          <w:sz w:val="28"/>
        </w:rPr>
        <w:t>1. 核心条款</w:t>
      </w:r>
    </w:p>
    <w:p>
      <w:pPr>
        <w:pStyle w:val="ListNumber"/>
        <w:spacing w:after="60"/>
        <w:ind w:left="397" w:hanging="198"/>
      </w:pPr>
      <w:r>
        <w:rPr>
          <w:rFonts w:ascii="Source Han Serif SC" w:hAnsi="Source Han Serif SC" w:eastAsia="Source Han Serif SC"/>
          <w:b w:val="0"/>
          <w:color w:val="242A30"/>
          <w:sz w:val="21"/>
        </w:rPr>
        <w:t>科棚于调解书生效后7日内，与原告、开福棚改投/物业或街道共同现场核验，签署《现状确认表》，附钻孔、垃圾、排水、围挡点位图及照片。</w:t>
      </w:r>
    </w:p>
    <w:p>
      <w:pPr>
        <w:pStyle w:val="ListNumber"/>
        <w:spacing w:after="60"/>
        <w:ind w:left="397" w:hanging="198"/>
      </w:pPr>
      <w:r>
        <w:rPr>
          <w:rFonts w:ascii="Source Han Serif SC" w:hAnsi="Source Han Serif SC" w:eastAsia="Source Han Serif SC"/>
          <w:b w:val="0"/>
          <w:color w:val="242A30"/>
          <w:sz w:val="21"/>
        </w:rPr>
        <w:t>科棚于15日内修补东301内约定钻孔和可确认由其人员造成的具体损坏。修补材料、工艺和颜色按第三方简易修复方案执行。</w:t>
      </w:r>
    </w:p>
    <w:p>
      <w:pPr>
        <w:pStyle w:val="ListNumber"/>
        <w:spacing w:after="60"/>
        <w:ind w:left="397" w:hanging="198"/>
      </w:pPr>
      <w:r>
        <w:rPr>
          <w:rFonts w:ascii="Source Han Serif SC" w:hAnsi="Source Han Serif SC" w:eastAsia="Source Han Serif SC"/>
          <w:b w:val="0"/>
          <w:color w:val="242A30"/>
          <w:sz w:val="21"/>
        </w:rPr>
        <w:t>责任主体于15日内清运约定点位的建筑垃圾和生活垃圾，完成消杀；生活垃圾清运不作为科棚承认侵权的证据，可按调解分工处理。</w:t>
      </w:r>
    </w:p>
    <w:p>
      <w:pPr>
        <w:pStyle w:val="ListNumber"/>
        <w:spacing w:after="60"/>
        <w:ind w:left="397" w:hanging="198"/>
      </w:pPr>
      <w:r>
        <w:rPr>
          <w:rFonts w:ascii="Source Han Serif SC" w:hAnsi="Source Han Serif SC" w:eastAsia="Source Han Serif SC"/>
          <w:b w:val="0"/>
          <w:color w:val="242A30"/>
          <w:sz w:val="21"/>
        </w:rPr>
        <w:t>责任主体于30日内疏通、修复约定排水段并完成连续24/48小时通水试验；隐蔽工程留存影像。</w:t>
      </w:r>
    </w:p>
    <w:p>
      <w:pPr>
        <w:pStyle w:val="ListNumber"/>
        <w:spacing w:after="60"/>
        <w:ind w:left="397" w:hanging="198"/>
      </w:pPr>
      <w:r>
        <w:rPr>
          <w:rFonts w:ascii="Source Han Serif SC" w:hAnsi="Source Han Serif SC" w:eastAsia="Source Han Serif SC"/>
          <w:b w:val="0"/>
          <w:color w:val="242A30"/>
          <w:sz w:val="21"/>
        </w:rPr>
        <w:t>责任主体于15日内调整围挡。经安全人员确认必须保留的，设置约定净宽、净高、照明、防滑和警示的安全通道；不得无期限完全阻断东301的合理到达。</w:t>
      </w:r>
    </w:p>
    <w:p>
      <w:pPr>
        <w:pStyle w:val="ListNumber"/>
        <w:spacing w:after="60"/>
        <w:ind w:left="397" w:hanging="198"/>
      </w:pPr>
      <w:r>
        <w:rPr>
          <w:rFonts w:ascii="Source Han Serif SC" w:hAnsi="Source Han Serif SC" w:eastAsia="Source Han Serif SC"/>
          <w:b w:val="0"/>
          <w:color w:val="242A30"/>
          <w:sz w:val="21"/>
        </w:rPr>
        <w:t>由双方、社区/街道见证人和施工方签署验收单；争议由共同选定的工程师在5日内出具意见。</w:t>
      </w:r>
    </w:p>
    <w:p>
      <w:pPr>
        <w:pStyle w:val="Heading2"/>
      </w:pPr>
      <w:r>
        <w:rPr>
          <w:rFonts w:ascii="TsangerJinKai02" w:hAnsi="TsangerJinKai02" w:eastAsia="TsangerJinKai02"/>
          <w:b/>
          <w:color w:val="1B365D"/>
          <w:sz w:val="28"/>
        </w:rPr>
        <w:t>2. 评价</w:t>
      </w:r>
    </w:p>
    <w:tbl>
      <w:tblPr>
        <w:tblW w:type="auto" w:w="0"/>
        <w:jc w:val="center"/>
        <w:tblLayout w:type="autofit"/>
        <w:tblLook w:firstColumn="1" w:firstRow="1" w:lastColumn="0" w:lastRow="0" w:noHBand="0" w:noVBand="1" w:val="04A0"/>
      </w:tblPr>
      <w:tblGrid>
        <w:gridCol w:w="4876"/>
        <w:gridCol w:w="4876"/>
      </w:tblGrid>
      <w:tr>
        <w:trPr>
          <w:tblHeader w:val="true"/>
        </w:trPr>
        <w:tc>
          <w:tcPr>
            <w:tcW w:type="dxa" w:w="4876"/>
            <w:tcMar>
              <w:top w:w="90" w:type="dxa"/>
              <w:start w:w="110" w:type="dxa"/>
              <w:bottom w:w="90" w:type="dxa"/>
              <w:end w:w="110" w:type="dxa"/>
            </w:tcMar>
            <w:tcBorders>
              <w:top w:val="single" w:sz="5" w:color="C9C5B8"/>
              <w:start w:val="single" w:sz="5" w:color="C9C5B8"/>
              <w:bottom w:val="single" w:sz="5" w:color="C9C5B8"/>
              <w:end w:val="single" w:sz="5" w:color="C9C5B8"/>
              <w:insideH w:val="single" w:sz="5" w:color="C9C5B8"/>
              <w:insideV w:val="single" w:sz="5" w:color="C9C5B8"/>
            </w:tcBorders>
            <w:vAlign w:val="center"/>
            <w:shd w:fill="1B365D"/>
          </w:tcPr>
          <w:p>
            <w:pPr>
              <w:spacing w:after="0" w:line="288" w:lineRule="auto"/>
            </w:pPr>
            <w:r>
              <w:rPr>
                <w:rFonts w:ascii="Source Han Sans SC" w:hAnsi="Source Han Sans SC" w:eastAsia="Source Han Sans SC"/>
                <w:b/>
                <w:color w:val="FFFFFF"/>
                <w:sz w:val="18"/>
              </w:rPr>
              <w:t>指标</w:t>
            </w:r>
          </w:p>
        </w:tc>
        <w:tc>
          <w:tcPr>
            <w:tcW w:type="dxa" w:w="4876"/>
            <w:tcMar>
              <w:top w:w="90" w:type="dxa"/>
              <w:start w:w="110" w:type="dxa"/>
              <w:bottom w:w="90" w:type="dxa"/>
              <w:end w:w="110" w:type="dxa"/>
            </w:tcMar>
            <w:tcBorders>
              <w:top w:val="single" w:sz="5" w:color="C9C5B8"/>
              <w:start w:val="single" w:sz="5" w:color="C9C5B8"/>
              <w:bottom w:val="single" w:sz="5" w:color="C9C5B8"/>
              <w:end w:val="single" w:sz="5" w:color="C9C5B8"/>
              <w:insideH w:val="single" w:sz="5" w:color="C9C5B8"/>
              <w:insideV w:val="single" w:sz="5" w:color="C9C5B8"/>
            </w:tcBorders>
            <w:vAlign w:val="center"/>
            <w:shd w:fill="1B365D"/>
          </w:tcPr>
          <w:p>
            <w:pPr>
              <w:spacing w:after="0" w:line="288" w:lineRule="auto"/>
            </w:pPr>
            <w:r>
              <w:rPr>
                <w:rFonts w:ascii="Source Han Sans SC" w:hAnsi="Source Han Sans SC" w:eastAsia="Source Han Sans SC"/>
                <w:b/>
                <w:color w:val="FFFFFF"/>
                <w:sz w:val="18"/>
              </w:rPr>
              <w:t>评价</w:t>
            </w:r>
          </w:p>
        </w:tc>
      </w:tr>
      <w:tr>
        <w:tc>
          <w:tcPr>
            <w:tcW w:type="dxa" w:w="4876"/>
            <w:tcMar>
              <w:top w:w="90" w:type="dxa"/>
              <w:start w:w="110" w:type="dxa"/>
              <w:bottom w:w="90" w:type="dxa"/>
              <w:end w:w="110" w:type="dxa"/>
            </w:tcMar>
            <w:tcBorders>
              <w:top w:val="single" w:sz="5" w:color="C9C5B8"/>
              <w:start w:val="single" w:sz="5" w:color="C9C5B8"/>
              <w:bottom w:val="single" w:sz="5" w:color="C9C5B8"/>
              <w:end w:val="single" w:sz="5" w:color="C9C5B8"/>
              <w:insideH w:val="single" w:sz="5" w:color="C9C5B8"/>
              <w:insideV w:val="single" w:sz="5" w:color="C9C5B8"/>
            </w:tcBorders>
            <w:vAlign w:val="center"/>
            <w:shd w:fill="F5F4ED"/>
          </w:tcPr>
          <w:p>
            <w:pPr>
              <w:spacing w:after="0" w:line="288" w:lineRule="auto"/>
            </w:pPr>
            <w:r>
              <w:rPr>
                <w:rFonts w:ascii="Source Han Sans SC" w:hAnsi="Source Han Sans SC" w:eastAsia="Source Han Sans SC"/>
                <w:b w:val="0"/>
                <w:color w:val="242A30"/>
                <w:sz w:val="18"/>
              </w:rPr>
              <w:t>预计成本</w:t>
            </w:r>
          </w:p>
        </w:tc>
        <w:tc>
          <w:tcPr>
            <w:tcW w:type="dxa" w:w="4876"/>
            <w:tcMar>
              <w:top w:w="90" w:type="dxa"/>
              <w:start w:w="110" w:type="dxa"/>
              <w:bottom w:w="90" w:type="dxa"/>
              <w:end w:w="110" w:type="dxa"/>
            </w:tcMar>
            <w:tcBorders>
              <w:top w:val="single" w:sz="5" w:color="C9C5B8"/>
              <w:start w:val="single" w:sz="5" w:color="C9C5B8"/>
              <w:bottom w:val="single" w:sz="5" w:color="C9C5B8"/>
              <w:end w:val="single" w:sz="5" w:color="C9C5B8"/>
              <w:insideH w:val="single" w:sz="5" w:color="C9C5B8"/>
              <w:insideV w:val="single" w:sz="5" w:color="C9C5B8"/>
            </w:tcBorders>
            <w:vAlign w:val="center"/>
            <w:shd w:fill="F5F4ED"/>
          </w:tcPr>
          <w:p>
            <w:pPr>
              <w:spacing w:after="0" w:line="288" w:lineRule="auto"/>
            </w:pPr>
            <w:r>
              <w:rPr>
                <w:rFonts w:ascii="Source Han Sans SC" w:hAnsi="Source Han Sans SC" w:eastAsia="Source Han Sans SC"/>
                <w:b w:val="0"/>
                <w:color w:val="242A30"/>
                <w:sz w:val="18"/>
              </w:rPr>
              <w:t>低至中，主要为清运、疏通、小修和围挡调整</w:t>
            </w:r>
          </w:p>
        </w:tc>
      </w:tr>
      <w:tr>
        <w:tc>
          <w:tcPr>
            <w:tcW w:type="dxa" w:w="4876"/>
            <w:tcMar>
              <w:top w:w="90" w:type="dxa"/>
              <w:start w:w="110" w:type="dxa"/>
              <w:bottom w:w="90" w:type="dxa"/>
              <w:end w:w="110" w:type="dxa"/>
            </w:tcMar>
            <w:tcBorders>
              <w:top w:val="single" w:sz="5" w:color="C9C5B8"/>
              <w:start w:val="single" w:sz="5" w:color="C9C5B8"/>
              <w:bottom w:val="single" w:sz="5" w:color="C9C5B8"/>
              <w:end w:val="single" w:sz="5" w:color="C9C5B8"/>
              <w:insideH w:val="single" w:sz="5" w:color="C9C5B8"/>
              <w:insideV w:val="single" w:sz="5" w:color="C9C5B8"/>
            </w:tcBorders>
            <w:vAlign w:val="center"/>
            <w:shd w:fill="FFFFFF"/>
          </w:tcPr>
          <w:p>
            <w:pPr>
              <w:spacing w:after="0" w:line="288" w:lineRule="auto"/>
            </w:pPr>
            <w:r>
              <w:rPr>
                <w:rFonts w:ascii="Source Han Sans SC" w:hAnsi="Source Han Sans SC" w:eastAsia="Source Han Sans SC"/>
                <w:b w:val="0"/>
                <w:color w:val="242A30"/>
                <w:sz w:val="18"/>
              </w:rPr>
              <w:t>可执行性</w:t>
            </w:r>
          </w:p>
        </w:tc>
        <w:tc>
          <w:tcPr>
            <w:tcW w:type="dxa" w:w="4876"/>
            <w:tcMar>
              <w:top w:w="90" w:type="dxa"/>
              <w:start w:w="110" w:type="dxa"/>
              <w:bottom w:w="90" w:type="dxa"/>
              <w:end w:w="110" w:type="dxa"/>
            </w:tcMar>
            <w:tcBorders>
              <w:top w:val="single" w:sz="5" w:color="C9C5B8"/>
              <w:start w:val="single" w:sz="5" w:color="C9C5B8"/>
              <w:bottom w:val="single" w:sz="5" w:color="C9C5B8"/>
              <w:end w:val="single" w:sz="5" w:color="C9C5B8"/>
              <w:insideH w:val="single" w:sz="5" w:color="C9C5B8"/>
              <w:insideV w:val="single" w:sz="5" w:color="C9C5B8"/>
            </w:tcBorders>
            <w:vAlign w:val="center"/>
            <w:shd w:fill="FFFFFF"/>
          </w:tcPr>
          <w:p>
            <w:pPr>
              <w:spacing w:after="0" w:line="288" w:lineRule="auto"/>
            </w:pPr>
            <w:r>
              <w:rPr>
                <w:rFonts w:ascii="Source Han Sans SC" w:hAnsi="Source Han Sans SC" w:eastAsia="Source Han Sans SC"/>
                <w:b w:val="0"/>
                <w:color w:val="242A30"/>
                <w:sz w:val="18"/>
              </w:rPr>
              <w:t>高，前提是点位图和主体写清</w:t>
            </w:r>
          </w:p>
        </w:tc>
      </w:tr>
      <w:tr>
        <w:tc>
          <w:tcPr>
            <w:tcW w:type="dxa" w:w="4876"/>
            <w:tcMar>
              <w:top w:w="90" w:type="dxa"/>
              <w:start w:w="110" w:type="dxa"/>
              <w:bottom w:w="90" w:type="dxa"/>
              <w:end w:w="110" w:type="dxa"/>
            </w:tcMar>
            <w:tcBorders>
              <w:top w:val="single" w:sz="5" w:color="C9C5B8"/>
              <w:start w:val="single" w:sz="5" w:color="C9C5B8"/>
              <w:bottom w:val="single" w:sz="5" w:color="C9C5B8"/>
              <w:end w:val="single" w:sz="5" w:color="C9C5B8"/>
              <w:insideH w:val="single" w:sz="5" w:color="C9C5B8"/>
              <w:insideV w:val="single" w:sz="5" w:color="C9C5B8"/>
            </w:tcBorders>
            <w:vAlign w:val="center"/>
            <w:shd w:fill="F5F4ED"/>
          </w:tcPr>
          <w:p>
            <w:pPr>
              <w:spacing w:after="0" w:line="288" w:lineRule="auto"/>
            </w:pPr>
            <w:r>
              <w:rPr>
                <w:rFonts w:ascii="Source Han Sans SC" w:hAnsi="Source Han Sans SC" w:eastAsia="Source Han Sans SC"/>
                <w:b w:val="0"/>
                <w:color w:val="242A30"/>
                <w:sz w:val="18"/>
              </w:rPr>
              <w:t>原告接受概率</w:t>
            </w:r>
          </w:p>
        </w:tc>
        <w:tc>
          <w:tcPr>
            <w:tcW w:type="dxa" w:w="4876"/>
            <w:tcMar>
              <w:top w:w="90" w:type="dxa"/>
              <w:start w:w="110" w:type="dxa"/>
              <w:bottom w:w="90" w:type="dxa"/>
              <w:end w:w="110" w:type="dxa"/>
            </w:tcMar>
            <w:tcBorders>
              <w:top w:val="single" w:sz="5" w:color="C9C5B8"/>
              <w:start w:val="single" w:sz="5" w:color="C9C5B8"/>
              <w:bottom w:val="single" w:sz="5" w:color="C9C5B8"/>
              <w:end w:val="single" w:sz="5" w:color="C9C5B8"/>
              <w:insideH w:val="single" w:sz="5" w:color="C9C5B8"/>
              <w:insideV w:val="single" w:sz="5" w:color="C9C5B8"/>
            </w:tcBorders>
            <w:vAlign w:val="center"/>
            <w:shd w:fill="F5F4ED"/>
          </w:tcPr>
          <w:p>
            <w:pPr>
              <w:spacing w:after="0" w:line="288" w:lineRule="auto"/>
            </w:pPr>
            <w:r>
              <w:rPr>
                <w:rFonts w:ascii="Source Han Sans SC" w:hAnsi="Source Han Sans SC" w:eastAsia="Source Han Sans SC"/>
                <w:b w:val="0"/>
                <w:color w:val="242A30"/>
                <w:sz w:val="18"/>
              </w:rPr>
              <w:t>60%—75%，能改善最低使用条件但未解决楼栋安全</w:t>
            </w:r>
          </w:p>
        </w:tc>
      </w:tr>
      <w:tr>
        <w:tc>
          <w:tcPr>
            <w:tcW w:type="dxa" w:w="4876"/>
            <w:tcMar>
              <w:top w:w="90" w:type="dxa"/>
              <w:start w:w="110" w:type="dxa"/>
              <w:bottom w:w="90" w:type="dxa"/>
              <w:end w:w="110" w:type="dxa"/>
            </w:tcMar>
            <w:tcBorders>
              <w:top w:val="single" w:sz="5" w:color="C9C5B8"/>
              <w:start w:val="single" w:sz="5" w:color="C9C5B8"/>
              <w:bottom w:val="single" w:sz="5" w:color="C9C5B8"/>
              <w:end w:val="single" w:sz="5" w:color="C9C5B8"/>
              <w:insideH w:val="single" w:sz="5" w:color="C9C5B8"/>
              <w:insideV w:val="single" w:sz="5" w:color="C9C5B8"/>
            </w:tcBorders>
            <w:vAlign w:val="center"/>
            <w:shd w:fill="FFFFFF"/>
          </w:tcPr>
          <w:p>
            <w:pPr>
              <w:spacing w:after="0" w:line="288" w:lineRule="auto"/>
            </w:pPr>
            <w:r>
              <w:rPr>
                <w:rFonts w:ascii="Source Han Sans SC" w:hAnsi="Source Han Sans SC" w:eastAsia="Source Han Sans SC"/>
                <w:b w:val="0"/>
                <w:color w:val="242A30"/>
                <w:sz w:val="18"/>
              </w:rPr>
              <w:t>科棚接受概率</w:t>
            </w:r>
          </w:p>
        </w:tc>
        <w:tc>
          <w:tcPr>
            <w:tcW w:type="dxa" w:w="4876"/>
            <w:tcMar>
              <w:top w:w="90" w:type="dxa"/>
              <w:start w:w="110" w:type="dxa"/>
              <w:bottom w:w="90" w:type="dxa"/>
              <w:end w:w="110" w:type="dxa"/>
            </w:tcMar>
            <w:tcBorders>
              <w:top w:val="single" w:sz="5" w:color="C9C5B8"/>
              <w:start w:val="single" w:sz="5" w:color="C9C5B8"/>
              <w:bottom w:val="single" w:sz="5" w:color="C9C5B8"/>
              <w:end w:val="single" w:sz="5" w:color="C9C5B8"/>
              <w:insideH w:val="single" w:sz="5" w:color="C9C5B8"/>
              <w:insideV w:val="single" w:sz="5" w:color="C9C5B8"/>
            </w:tcBorders>
            <w:vAlign w:val="center"/>
            <w:shd w:fill="FFFFFF"/>
          </w:tcPr>
          <w:p>
            <w:pPr>
              <w:spacing w:after="0" w:line="288" w:lineRule="auto"/>
            </w:pPr>
            <w:r>
              <w:rPr>
                <w:rFonts w:ascii="Source Han Sans SC" w:hAnsi="Source Han Sans SC" w:eastAsia="Source Han Sans SC"/>
                <w:b w:val="0"/>
                <w:color w:val="242A30"/>
                <w:sz w:val="18"/>
              </w:rPr>
              <w:t>65%—80%，可用有限成本结束其直接行为争议，并可约定“不构成对全部楼栋责任的承认”</w:t>
            </w:r>
          </w:p>
        </w:tc>
      </w:tr>
      <w:tr>
        <w:tc>
          <w:tcPr>
            <w:tcW w:type="dxa" w:w="4876"/>
            <w:tcMar>
              <w:top w:w="90" w:type="dxa"/>
              <w:start w:w="110" w:type="dxa"/>
              <w:bottom w:w="90" w:type="dxa"/>
              <w:end w:w="110" w:type="dxa"/>
            </w:tcMar>
            <w:tcBorders>
              <w:top w:val="single" w:sz="5" w:color="C9C5B8"/>
              <w:start w:val="single" w:sz="5" w:color="C9C5B8"/>
              <w:bottom w:val="single" w:sz="5" w:color="C9C5B8"/>
              <w:end w:val="single" w:sz="5" w:color="C9C5B8"/>
              <w:insideH w:val="single" w:sz="5" w:color="C9C5B8"/>
              <w:insideV w:val="single" w:sz="5" w:color="C9C5B8"/>
            </w:tcBorders>
            <w:vAlign w:val="center"/>
            <w:shd w:fill="F5F4ED"/>
          </w:tcPr>
          <w:p>
            <w:pPr>
              <w:spacing w:after="0" w:line="288" w:lineRule="auto"/>
            </w:pPr>
            <w:r>
              <w:rPr>
                <w:rFonts w:ascii="Source Han Sans SC" w:hAnsi="Source Han Sans SC" w:eastAsia="Source Han Sans SC"/>
                <w:b w:val="0"/>
                <w:color w:val="242A30"/>
                <w:sz w:val="18"/>
              </w:rPr>
              <w:t>开福棚改投接受概率</w:t>
            </w:r>
          </w:p>
        </w:tc>
        <w:tc>
          <w:tcPr>
            <w:tcW w:type="dxa" w:w="4876"/>
            <w:tcMar>
              <w:top w:w="90" w:type="dxa"/>
              <w:start w:w="110" w:type="dxa"/>
              <w:bottom w:w="90" w:type="dxa"/>
              <w:end w:w="110" w:type="dxa"/>
            </w:tcMar>
            <w:tcBorders>
              <w:top w:val="single" w:sz="5" w:color="C9C5B8"/>
              <w:start w:val="single" w:sz="5" w:color="C9C5B8"/>
              <w:bottom w:val="single" w:sz="5" w:color="C9C5B8"/>
              <w:end w:val="single" w:sz="5" w:color="C9C5B8"/>
              <w:insideH w:val="single" w:sz="5" w:color="C9C5B8"/>
              <w:insideV w:val="single" w:sz="5" w:color="C9C5B8"/>
            </w:tcBorders>
            <w:vAlign w:val="center"/>
            <w:shd w:fill="F5F4ED"/>
          </w:tcPr>
          <w:p>
            <w:pPr>
              <w:spacing w:after="0" w:line="288" w:lineRule="auto"/>
            </w:pPr>
            <w:r>
              <w:rPr>
                <w:rFonts w:ascii="Source Han Sans SC" w:hAnsi="Source Han Sans SC" w:eastAsia="Source Han Sans SC"/>
                <w:b w:val="0"/>
                <w:color w:val="242A30"/>
                <w:sz w:val="18"/>
              </w:rPr>
              <w:t>60%—75%，若只承担共有部位协调，不立即承诺大工程</w:t>
            </w:r>
          </w:p>
        </w:tc>
      </w:tr>
      <w:tr>
        <w:tc>
          <w:tcPr>
            <w:tcW w:type="dxa" w:w="4876"/>
            <w:tcMar>
              <w:top w:w="90" w:type="dxa"/>
              <w:start w:w="110" w:type="dxa"/>
              <w:bottom w:w="90" w:type="dxa"/>
              <w:end w:w="110" w:type="dxa"/>
            </w:tcMar>
            <w:tcBorders>
              <w:top w:val="single" w:sz="5" w:color="C9C5B8"/>
              <w:start w:val="single" w:sz="5" w:color="C9C5B8"/>
              <w:bottom w:val="single" w:sz="5" w:color="C9C5B8"/>
              <w:end w:val="single" w:sz="5" w:color="C9C5B8"/>
              <w:insideH w:val="single" w:sz="5" w:color="C9C5B8"/>
              <w:insideV w:val="single" w:sz="5" w:color="C9C5B8"/>
            </w:tcBorders>
            <w:vAlign w:val="center"/>
            <w:shd w:fill="FFFFFF"/>
          </w:tcPr>
          <w:p>
            <w:pPr>
              <w:spacing w:after="0" w:line="288" w:lineRule="auto"/>
            </w:pPr>
            <w:r>
              <w:rPr>
                <w:rFonts w:ascii="Source Han Sans SC" w:hAnsi="Source Han Sans SC" w:eastAsia="Source Han Sans SC"/>
                <w:b w:val="0"/>
                <w:color w:val="242A30"/>
                <w:sz w:val="18"/>
              </w:rPr>
              <w:t>终局性</w:t>
            </w:r>
          </w:p>
        </w:tc>
        <w:tc>
          <w:tcPr>
            <w:tcW w:type="dxa" w:w="4876"/>
            <w:tcMar>
              <w:top w:w="90" w:type="dxa"/>
              <w:start w:w="110" w:type="dxa"/>
              <w:bottom w:w="90" w:type="dxa"/>
              <w:end w:w="110" w:type="dxa"/>
            </w:tcMar>
            <w:tcBorders>
              <w:top w:val="single" w:sz="5" w:color="C9C5B8"/>
              <w:start w:val="single" w:sz="5" w:color="C9C5B8"/>
              <w:bottom w:val="single" w:sz="5" w:color="C9C5B8"/>
              <w:end w:val="single" w:sz="5" w:color="C9C5B8"/>
              <w:insideH w:val="single" w:sz="5" w:color="C9C5B8"/>
              <w:insideV w:val="single" w:sz="5" w:color="C9C5B8"/>
            </w:tcBorders>
            <w:vAlign w:val="center"/>
            <w:shd w:fill="FFFFFF"/>
          </w:tcPr>
          <w:p>
            <w:pPr>
              <w:spacing w:after="0" w:line="288" w:lineRule="auto"/>
            </w:pPr>
            <w:r>
              <w:rPr>
                <w:rFonts w:ascii="Source Han Sans SC" w:hAnsi="Source Han Sans SC" w:eastAsia="Source Han Sans SC"/>
                <w:b w:val="0"/>
                <w:color w:val="242A30"/>
                <w:sz w:val="18"/>
              </w:rPr>
              <w:t>中低，容易在结构安全、后续围挡和更新问题上再次起诉</w:t>
            </w:r>
          </w:p>
        </w:tc>
      </w:tr>
    </w:tbl>
    <w:p>
      <w:pPr>
        <w:spacing w:after="40"/>
      </w:pPr>
    </w:p>
    <w:p>
      <w:pPr>
        <w:pStyle w:val="Heading1"/>
      </w:pPr>
      <w:r>
        <w:rPr>
          <w:rFonts w:ascii="TsangerJinKai02" w:hAnsi="TsangerJinKai02" w:eastAsia="TsangerJinKai02"/>
          <w:b/>
          <w:color w:val="1B365D"/>
          <w:sz w:val="36"/>
        </w:rPr>
        <w:t>三、调解方案二：修缮加固＋复鉴型</w:t>
      </w:r>
    </w:p>
    <w:p>
      <w:pPr>
        <w:pStyle w:val="Heading2"/>
      </w:pPr>
      <w:r>
        <w:rPr>
          <w:rFonts w:ascii="TsangerJinKai02" w:hAnsi="TsangerJinKai02" w:eastAsia="TsangerJinKai02"/>
          <w:b/>
          <w:color w:val="1B365D"/>
          <w:sz w:val="28"/>
        </w:rPr>
        <w:t>1. 流程</w:t>
      </w:r>
    </w:p>
    <w:p>
      <w:pPr>
        <w:pStyle w:val="PullQuote"/>
        <w:pBdr>
          <w:left w:val="single" w:sz="18" w:space="10" w:color="A97732"/>
        </w:pBdr>
      </w:pPr>
      <w:r>
        <w:rPr>
          <w:rFonts w:ascii="TsangerJinKai02" w:hAnsi="TsangerJinKai02" w:eastAsia="TsangerJinKai02"/>
          <w:b w:val="0"/>
          <w:color w:val="1B365D"/>
          <w:sz w:val="22"/>
        </w:rPr>
        <w:t>现状和资料核验 → 共同委托鉴定/复核 → 确定修缮加固清单 → 有资质设计 → 合法施工 → 分项验收 → 同范围复鉴 → 风险销号及移交使用</w:t>
      </w:r>
    </w:p>
    <w:p>
      <w:pPr>
        <w:pStyle w:val="Heading2"/>
      </w:pPr>
      <w:r>
        <w:rPr>
          <w:rFonts w:ascii="TsangerJinKai02" w:hAnsi="TsangerJinKai02" w:eastAsia="TsangerJinKai02"/>
          <w:b/>
          <w:color w:val="1B365D"/>
          <w:sz w:val="28"/>
        </w:rPr>
        <w:t>2. 条款结构</w:t>
      </w:r>
    </w:p>
    <w:p>
      <w:pPr>
        <w:pStyle w:val="ListNumber"/>
        <w:spacing w:after="60"/>
        <w:ind w:left="397" w:hanging="198"/>
      </w:pPr>
      <w:r>
        <w:rPr>
          <w:rFonts w:ascii="Source Han Serif SC" w:hAnsi="Source Han Serif SC" w:eastAsia="Source Han Serif SC"/>
          <w:b w:val="0"/>
          <w:color w:val="242A30"/>
          <w:sz w:val="21"/>
        </w:rPr>
        <w:t>开福棚改投、科棚和原告在10日内提交各自掌握的2022年鉴定、2023年加固设计、施工、监理、验收、复鉴和风险销号资料。</w:t>
      </w:r>
    </w:p>
    <w:p>
      <w:pPr>
        <w:pStyle w:val="ListNumber"/>
        <w:spacing w:after="60"/>
        <w:ind w:left="397" w:hanging="198"/>
      </w:pPr>
      <w:r>
        <w:rPr>
          <w:rFonts w:ascii="Source Han Serif SC" w:hAnsi="Source Han Serif SC" w:eastAsia="Source Han Serif SC"/>
          <w:b w:val="0"/>
          <w:color w:val="242A30"/>
          <w:sz w:val="21"/>
        </w:rPr>
        <w:t>在20日内共同选定有资质的房屋安全鉴定机构；选不定时由法院从名册中摇号。鉴定费用先由[主体]垫付，最终按责任比例承担。</w:t>
      </w:r>
    </w:p>
    <w:p>
      <w:pPr>
        <w:pStyle w:val="ListNumber"/>
        <w:spacing w:after="60"/>
        <w:ind w:left="397" w:hanging="198"/>
      </w:pPr>
      <w:r>
        <w:rPr>
          <w:rFonts w:ascii="Source Han Serif SC" w:hAnsi="Source Han Serif SC" w:eastAsia="Source Han Serif SC"/>
          <w:b w:val="0"/>
          <w:color w:val="242A30"/>
          <w:sz w:val="21"/>
        </w:rPr>
        <w:t>鉴定任务必须明确同一鉴定单元，并分别评价地基基础、上部承重、围护承重、正常使用性及与东301使用直接相关的排水、通行、消防疏散；不得只出笼统等级。</w:t>
      </w:r>
    </w:p>
    <w:p>
      <w:pPr>
        <w:pStyle w:val="ListNumber"/>
        <w:spacing w:after="60"/>
        <w:ind w:left="397" w:hanging="198"/>
      </w:pPr>
      <w:r>
        <w:rPr>
          <w:rFonts w:ascii="Source Han Serif SC" w:hAnsi="Source Han Serif SC" w:eastAsia="Source Han Serif SC"/>
          <w:b w:val="0"/>
          <w:color w:val="242A30"/>
          <w:sz w:val="21"/>
        </w:rPr>
        <w:t>鉴定机构在报告中列明危险点、治理建议和是否适宜维修加固。各方据此在15日内确定《工程项目清单》《图纸》《预算》《工期表》。</w:t>
      </w:r>
    </w:p>
    <w:p>
      <w:pPr>
        <w:pStyle w:val="ListNumber"/>
        <w:spacing w:after="60"/>
        <w:ind w:left="397" w:hanging="198"/>
      </w:pPr>
      <w:r>
        <w:rPr>
          <w:rFonts w:ascii="Source Han Serif SC" w:hAnsi="Source Han Serif SC" w:eastAsia="Source Han Serif SC"/>
          <w:b w:val="0"/>
          <w:color w:val="242A30"/>
          <w:sz w:val="21"/>
        </w:rPr>
        <w:t>实施主体委托具有资质的设计、施工和监理单位，依法办理报建、保护审查和施工手续。施工期间提供临时安全通道；确需腾空的，另行承担约定过渡安置。</w:t>
      </w:r>
    </w:p>
    <w:p>
      <w:pPr>
        <w:pStyle w:val="ListNumber"/>
        <w:spacing w:after="60"/>
        <w:ind w:left="397" w:hanging="198"/>
      </w:pPr>
      <w:r>
        <w:rPr>
          <w:rFonts w:ascii="Source Han Serif SC" w:hAnsi="Source Han Serif SC" w:eastAsia="Source Han Serif SC"/>
          <w:b w:val="0"/>
          <w:color w:val="242A30"/>
          <w:sz w:val="21"/>
        </w:rPr>
        <w:t>工程完成后进行分部分项验收和同范围复鉴。以“工程质量合格＋危险点消除或受控＋满足依法安全、正常使用”为验收结果。</w:t>
      </w:r>
    </w:p>
    <w:p>
      <w:pPr>
        <w:pStyle w:val="ListNumber"/>
        <w:spacing w:after="60"/>
        <w:ind w:left="397" w:hanging="198"/>
      </w:pPr>
      <w:r>
        <w:rPr>
          <w:rFonts w:ascii="Source Han Serif SC" w:hAnsi="Source Han Serif SC" w:eastAsia="Source Han Serif SC"/>
          <w:b w:val="0"/>
          <w:color w:val="242A30"/>
          <w:sz w:val="21"/>
        </w:rPr>
        <w:t>若专家确认2023年报告与本次在标准、对象、范围、方法上可比，可增列：复核结果不得低于2023年相同鉴定单元的B级结论。未确认可比，不使用“B/Bsu”作机械指标。</w:t>
      </w:r>
    </w:p>
    <w:p>
      <w:pPr>
        <w:pStyle w:val="ListNumber"/>
        <w:spacing w:after="60"/>
        <w:ind w:left="397" w:hanging="198"/>
      </w:pPr>
      <w:r>
        <w:rPr>
          <w:rFonts w:ascii="Source Han Serif SC" w:hAnsi="Source Han Serif SC" w:eastAsia="Source Han Serif SC"/>
          <w:b w:val="0"/>
          <w:color w:val="242A30"/>
          <w:sz w:val="21"/>
        </w:rPr>
        <w:t>未通过复鉴的，实施主体在30日内无偿整改并再次复鉴，直至达到约定结果；重复鉴定和整改费用由未完成义务方承担。</w:t>
      </w:r>
    </w:p>
    <w:p>
      <w:pPr>
        <w:pStyle w:val="Heading2"/>
      </w:pPr>
      <w:r>
        <w:rPr>
          <w:rFonts w:ascii="TsangerJinKai02" w:hAnsi="TsangerJinKai02" w:eastAsia="TsangerJinKai02"/>
          <w:b/>
          <w:color w:val="1B365D"/>
          <w:sz w:val="28"/>
        </w:rPr>
        <w:t>3. 评价</w:t>
      </w:r>
    </w:p>
    <w:tbl>
      <w:tblPr>
        <w:tblW w:type="auto" w:w="0"/>
        <w:jc w:val="center"/>
        <w:tblLayout w:type="autofit"/>
        <w:tblLook w:firstColumn="1" w:firstRow="1" w:lastColumn="0" w:lastRow="0" w:noHBand="0" w:noVBand="1" w:val="04A0"/>
      </w:tblPr>
      <w:tblGrid>
        <w:gridCol w:w="4876"/>
        <w:gridCol w:w="4876"/>
      </w:tblGrid>
      <w:tr>
        <w:trPr>
          <w:tblHeader w:val="true"/>
        </w:trPr>
        <w:tc>
          <w:tcPr>
            <w:tcW w:type="dxa" w:w="4876"/>
            <w:tcMar>
              <w:top w:w="90" w:type="dxa"/>
              <w:start w:w="110" w:type="dxa"/>
              <w:bottom w:w="90" w:type="dxa"/>
              <w:end w:w="110" w:type="dxa"/>
            </w:tcMar>
            <w:tcBorders>
              <w:top w:val="single" w:sz="5" w:color="C9C5B8"/>
              <w:start w:val="single" w:sz="5" w:color="C9C5B8"/>
              <w:bottom w:val="single" w:sz="5" w:color="C9C5B8"/>
              <w:end w:val="single" w:sz="5" w:color="C9C5B8"/>
              <w:insideH w:val="single" w:sz="5" w:color="C9C5B8"/>
              <w:insideV w:val="single" w:sz="5" w:color="C9C5B8"/>
            </w:tcBorders>
            <w:vAlign w:val="center"/>
            <w:shd w:fill="1B365D"/>
          </w:tcPr>
          <w:p>
            <w:pPr>
              <w:spacing w:after="0" w:line="288" w:lineRule="auto"/>
            </w:pPr>
            <w:r>
              <w:rPr>
                <w:rFonts w:ascii="Source Han Sans SC" w:hAnsi="Source Han Sans SC" w:eastAsia="Source Han Sans SC"/>
                <w:b/>
                <w:color w:val="FFFFFF"/>
                <w:sz w:val="18"/>
              </w:rPr>
              <w:t>指标</w:t>
            </w:r>
          </w:p>
        </w:tc>
        <w:tc>
          <w:tcPr>
            <w:tcW w:type="dxa" w:w="4876"/>
            <w:tcMar>
              <w:top w:w="90" w:type="dxa"/>
              <w:start w:w="110" w:type="dxa"/>
              <w:bottom w:w="90" w:type="dxa"/>
              <w:end w:w="110" w:type="dxa"/>
            </w:tcMar>
            <w:tcBorders>
              <w:top w:val="single" w:sz="5" w:color="C9C5B8"/>
              <w:start w:val="single" w:sz="5" w:color="C9C5B8"/>
              <w:bottom w:val="single" w:sz="5" w:color="C9C5B8"/>
              <w:end w:val="single" w:sz="5" w:color="C9C5B8"/>
              <w:insideH w:val="single" w:sz="5" w:color="C9C5B8"/>
              <w:insideV w:val="single" w:sz="5" w:color="C9C5B8"/>
            </w:tcBorders>
            <w:vAlign w:val="center"/>
            <w:shd w:fill="1B365D"/>
          </w:tcPr>
          <w:p>
            <w:pPr>
              <w:spacing w:after="0" w:line="288" w:lineRule="auto"/>
            </w:pPr>
            <w:r>
              <w:rPr>
                <w:rFonts w:ascii="Source Han Sans SC" w:hAnsi="Source Han Sans SC" w:eastAsia="Source Han Sans SC"/>
                <w:b/>
                <w:color w:val="FFFFFF"/>
                <w:sz w:val="18"/>
              </w:rPr>
              <w:t>评价</w:t>
            </w:r>
          </w:p>
        </w:tc>
      </w:tr>
      <w:tr>
        <w:tc>
          <w:tcPr>
            <w:tcW w:type="dxa" w:w="4876"/>
            <w:tcMar>
              <w:top w:w="90" w:type="dxa"/>
              <w:start w:w="110" w:type="dxa"/>
              <w:bottom w:w="90" w:type="dxa"/>
              <w:end w:w="110" w:type="dxa"/>
            </w:tcMar>
            <w:tcBorders>
              <w:top w:val="single" w:sz="5" w:color="C9C5B8"/>
              <w:start w:val="single" w:sz="5" w:color="C9C5B8"/>
              <w:bottom w:val="single" w:sz="5" w:color="C9C5B8"/>
              <w:end w:val="single" w:sz="5" w:color="C9C5B8"/>
              <w:insideH w:val="single" w:sz="5" w:color="C9C5B8"/>
              <w:insideV w:val="single" w:sz="5" w:color="C9C5B8"/>
            </w:tcBorders>
            <w:vAlign w:val="center"/>
            <w:shd w:fill="F5F4ED"/>
          </w:tcPr>
          <w:p>
            <w:pPr>
              <w:spacing w:after="0" w:line="288" w:lineRule="auto"/>
            </w:pPr>
            <w:r>
              <w:rPr>
                <w:rFonts w:ascii="Source Han Sans SC" w:hAnsi="Source Han Sans SC" w:eastAsia="Source Han Sans SC"/>
                <w:b w:val="0"/>
                <w:color w:val="242A30"/>
                <w:sz w:val="18"/>
              </w:rPr>
              <w:t>成本</w:t>
            </w:r>
          </w:p>
        </w:tc>
        <w:tc>
          <w:tcPr>
            <w:tcW w:type="dxa" w:w="4876"/>
            <w:tcMar>
              <w:top w:w="90" w:type="dxa"/>
              <w:start w:w="110" w:type="dxa"/>
              <w:bottom w:w="90" w:type="dxa"/>
              <w:end w:w="110" w:type="dxa"/>
            </w:tcMar>
            <w:tcBorders>
              <w:top w:val="single" w:sz="5" w:color="C9C5B8"/>
              <w:start w:val="single" w:sz="5" w:color="C9C5B8"/>
              <w:bottom w:val="single" w:sz="5" w:color="C9C5B8"/>
              <w:end w:val="single" w:sz="5" w:color="C9C5B8"/>
              <w:insideH w:val="single" w:sz="5" w:color="C9C5B8"/>
              <w:insideV w:val="single" w:sz="5" w:color="C9C5B8"/>
            </w:tcBorders>
            <w:vAlign w:val="center"/>
            <w:shd w:fill="F5F4ED"/>
          </w:tcPr>
          <w:p>
            <w:pPr>
              <w:spacing w:after="0" w:line="288" w:lineRule="auto"/>
            </w:pPr>
            <w:r>
              <w:rPr>
                <w:rFonts w:ascii="Source Han Sans SC" w:hAnsi="Source Han Sans SC" w:eastAsia="Source Han Sans SC"/>
                <w:b w:val="0"/>
                <w:color w:val="242A30"/>
                <w:sz w:val="18"/>
              </w:rPr>
              <w:t>中至高，取决于鉴定范围和结构工程量</w:t>
            </w:r>
          </w:p>
        </w:tc>
      </w:tr>
      <w:tr>
        <w:tc>
          <w:tcPr>
            <w:tcW w:type="dxa" w:w="4876"/>
            <w:tcMar>
              <w:top w:w="90" w:type="dxa"/>
              <w:start w:w="110" w:type="dxa"/>
              <w:bottom w:w="90" w:type="dxa"/>
              <w:end w:w="110" w:type="dxa"/>
            </w:tcMar>
            <w:tcBorders>
              <w:top w:val="single" w:sz="5" w:color="C9C5B8"/>
              <w:start w:val="single" w:sz="5" w:color="C9C5B8"/>
              <w:bottom w:val="single" w:sz="5" w:color="C9C5B8"/>
              <w:end w:val="single" w:sz="5" w:color="C9C5B8"/>
              <w:insideH w:val="single" w:sz="5" w:color="C9C5B8"/>
              <w:insideV w:val="single" w:sz="5" w:color="C9C5B8"/>
            </w:tcBorders>
            <w:vAlign w:val="center"/>
            <w:shd w:fill="FFFFFF"/>
          </w:tcPr>
          <w:p>
            <w:pPr>
              <w:spacing w:after="0" w:line="288" w:lineRule="auto"/>
            </w:pPr>
            <w:r>
              <w:rPr>
                <w:rFonts w:ascii="Source Han Sans SC" w:hAnsi="Source Han Sans SC" w:eastAsia="Source Han Sans SC"/>
                <w:b w:val="0"/>
                <w:color w:val="242A30"/>
                <w:sz w:val="18"/>
              </w:rPr>
              <w:t>可执行性</w:t>
            </w:r>
          </w:p>
        </w:tc>
        <w:tc>
          <w:tcPr>
            <w:tcW w:type="dxa" w:w="4876"/>
            <w:tcMar>
              <w:top w:w="90" w:type="dxa"/>
              <w:start w:w="110" w:type="dxa"/>
              <w:bottom w:w="90" w:type="dxa"/>
              <w:end w:w="110" w:type="dxa"/>
            </w:tcMar>
            <w:tcBorders>
              <w:top w:val="single" w:sz="5" w:color="C9C5B8"/>
              <w:start w:val="single" w:sz="5" w:color="C9C5B8"/>
              <w:bottom w:val="single" w:sz="5" w:color="C9C5B8"/>
              <w:end w:val="single" w:sz="5" w:color="C9C5B8"/>
              <w:insideH w:val="single" w:sz="5" w:color="C9C5B8"/>
              <w:insideV w:val="single" w:sz="5" w:color="C9C5B8"/>
            </w:tcBorders>
            <w:vAlign w:val="center"/>
            <w:shd w:fill="FFFFFF"/>
          </w:tcPr>
          <w:p>
            <w:pPr>
              <w:spacing w:after="0" w:line="288" w:lineRule="auto"/>
            </w:pPr>
            <w:r>
              <w:rPr>
                <w:rFonts w:ascii="Source Han Sans SC" w:hAnsi="Source Han Sans SC" w:eastAsia="Source Han Sans SC"/>
                <w:b w:val="0"/>
                <w:color w:val="242A30"/>
                <w:sz w:val="18"/>
              </w:rPr>
              <w:t>中高；工程清单、设计、验收和复鉴必须附件化</w:t>
            </w:r>
          </w:p>
        </w:tc>
      </w:tr>
      <w:tr>
        <w:tc>
          <w:tcPr>
            <w:tcW w:type="dxa" w:w="4876"/>
            <w:tcMar>
              <w:top w:w="90" w:type="dxa"/>
              <w:start w:w="110" w:type="dxa"/>
              <w:bottom w:w="90" w:type="dxa"/>
              <w:end w:w="110" w:type="dxa"/>
            </w:tcMar>
            <w:tcBorders>
              <w:top w:val="single" w:sz="5" w:color="C9C5B8"/>
              <w:start w:val="single" w:sz="5" w:color="C9C5B8"/>
              <w:bottom w:val="single" w:sz="5" w:color="C9C5B8"/>
              <w:end w:val="single" w:sz="5" w:color="C9C5B8"/>
              <w:insideH w:val="single" w:sz="5" w:color="C9C5B8"/>
              <w:insideV w:val="single" w:sz="5" w:color="C9C5B8"/>
            </w:tcBorders>
            <w:vAlign w:val="center"/>
            <w:shd w:fill="F5F4ED"/>
          </w:tcPr>
          <w:p>
            <w:pPr>
              <w:spacing w:after="0" w:line="288" w:lineRule="auto"/>
            </w:pPr>
            <w:r>
              <w:rPr>
                <w:rFonts w:ascii="Source Han Sans SC" w:hAnsi="Source Han Sans SC" w:eastAsia="Source Han Sans SC"/>
                <w:b w:val="0"/>
                <w:color w:val="242A30"/>
                <w:sz w:val="18"/>
              </w:rPr>
              <w:t>原告接受概率</w:t>
            </w:r>
          </w:p>
        </w:tc>
        <w:tc>
          <w:tcPr>
            <w:tcW w:type="dxa" w:w="4876"/>
            <w:tcMar>
              <w:top w:w="90" w:type="dxa"/>
              <w:start w:w="110" w:type="dxa"/>
              <w:bottom w:w="90" w:type="dxa"/>
              <w:end w:w="110" w:type="dxa"/>
            </w:tcMar>
            <w:tcBorders>
              <w:top w:val="single" w:sz="5" w:color="C9C5B8"/>
              <w:start w:val="single" w:sz="5" w:color="C9C5B8"/>
              <w:bottom w:val="single" w:sz="5" w:color="C9C5B8"/>
              <w:end w:val="single" w:sz="5" w:color="C9C5B8"/>
              <w:insideH w:val="single" w:sz="5" w:color="C9C5B8"/>
              <w:insideV w:val="single" w:sz="5" w:color="C9C5B8"/>
            </w:tcBorders>
            <w:vAlign w:val="center"/>
            <w:shd w:fill="F5F4ED"/>
          </w:tcPr>
          <w:p>
            <w:pPr>
              <w:spacing w:after="0" w:line="288" w:lineRule="auto"/>
            </w:pPr>
            <w:r>
              <w:rPr>
                <w:rFonts w:ascii="Source Han Sans SC" w:hAnsi="Source Han Sans SC" w:eastAsia="Source Han Sans SC"/>
                <w:b w:val="0"/>
                <w:color w:val="242A30"/>
                <w:sz w:val="18"/>
              </w:rPr>
              <w:t>75%—85%，最贴近“恢复安全使用”的实质目标</w:t>
            </w:r>
          </w:p>
        </w:tc>
      </w:tr>
      <w:tr>
        <w:tc>
          <w:tcPr>
            <w:tcW w:type="dxa" w:w="4876"/>
            <w:tcMar>
              <w:top w:w="90" w:type="dxa"/>
              <w:start w:w="110" w:type="dxa"/>
              <w:bottom w:w="90" w:type="dxa"/>
              <w:end w:w="110" w:type="dxa"/>
            </w:tcMar>
            <w:tcBorders>
              <w:top w:val="single" w:sz="5" w:color="C9C5B8"/>
              <w:start w:val="single" w:sz="5" w:color="C9C5B8"/>
              <w:bottom w:val="single" w:sz="5" w:color="C9C5B8"/>
              <w:end w:val="single" w:sz="5" w:color="C9C5B8"/>
              <w:insideH w:val="single" w:sz="5" w:color="C9C5B8"/>
              <w:insideV w:val="single" w:sz="5" w:color="C9C5B8"/>
            </w:tcBorders>
            <w:vAlign w:val="center"/>
            <w:shd w:fill="FFFFFF"/>
          </w:tcPr>
          <w:p>
            <w:pPr>
              <w:spacing w:after="0" w:line="288" w:lineRule="auto"/>
            </w:pPr>
            <w:r>
              <w:rPr>
                <w:rFonts w:ascii="Source Han Sans SC" w:hAnsi="Source Han Sans SC" w:eastAsia="Source Han Sans SC"/>
                <w:b w:val="0"/>
                <w:color w:val="242A30"/>
                <w:sz w:val="18"/>
              </w:rPr>
              <w:t>科棚接受概率</w:t>
            </w:r>
          </w:p>
        </w:tc>
        <w:tc>
          <w:tcPr>
            <w:tcW w:type="dxa" w:w="4876"/>
            <w:tcMar>
              <w:top w:w="90" w:type="dxa"/>
              <w:start w:w="110" w:type="dxa"/>
              <w:bottom w:w="90" w:type="dxa"/>
              <w:end w:w="110" w:type="dxa"/>
            </w:tcMar>
            <w:tcBorders>
              <w:top w:val="single" w:sz="5" w:color="C9C5B8"/>
              <w:start w:val="single" w:sz="5" w:color="C9C5B8"/>
              <w:bottom w:val="single" w:sz="5" w:color="C9C5B8"/>
              <w:end w:val="single" w:sz="5" w:color="C9C5B8"/>
              <w:insideH w:val="single" w:sz="5" w:color="C9C5B8"/>
              <w:insideV w:val="single" w:sz="5" w:color="C9C5B8"/>
            </w:tcBorders>
            <w:vAlign w:val="center"/>
            <w:shd w:fill="FFFFFF"/>
          </w:tcPr>
          <w:p>
            <w:pPr>
              <w:spacing w:after="0" w:line="288" w:lineRule="auto"/>
            </w:pPr>
            <w:r>
              <w:rPr>
                <w:rFonts w:ascii="Source Han Sans SC" w:hAnsi="Source Han Sans SC" w:eastAsia="Source Han Sans SC"/>
                <w:b w:val="0"/>
                <w:color w:val="242A30"/>
                <w:sz w:val="18"/>
              </w:rPr>
              <w:t>35%—55%；若其只承担行为修复和协调，而由有管理职责主体承担楼栋工程，可提高</w:t>
            </w:r>
          </w:p>
        </w:tc>
      </w:tr>
      <w:tr>
        <w:tc>
          <w:tcPr>
            <w:tcW w:type="dxa" w:w="4876"/>
            <w:tcMar>
              <w:top w:w="90" w:type="dxa"/>
              <w:start w:w="110" w:type="dxa"/>
              <w:bottom w:w="90" w:type="dxa"/>
              <w:end w:w="110" w:type="dxa"/>
            </w:tcMar>
            <w:tcBorders>
              <w:top w:val="single" w:sz="5" w:color="C9C5B8"/>
              <w:start w:val="single" w:sz="5" w:color="C9C5B8"/>
              <w:bottom w:val="single" w:sz="5" w:color="C9C5B8"/>
              <w:end w:val="single" w:sz="5" w:color="C9C5B8"/>
              <w:insideH w:val="single" w:sz="5" w:color="C9C5B8"/>
              <w:insideV w:val="single" w:sz="5" w:color="C9C5B8"/>
            </w:tcBorders>
            <w:vAlign w:val="center"/>
            <w:shd w:fill="F5F4ED"/>
          </w:tcPr>
          <w:p>
            <w:pPr>
              <w:spacing w:after="0" w:line="288" w:lineRule="auto"/>
            </w:pPr>
            <w:r>
              <w:rPr>
                <w:rFonts w:ascii="Source Han Sans SC" w:hAnsi="Source Han Sans SC" w:eastAsia="Source Han Sans SC"/>
                <w:b w:val="0"/>
                <w:color w:val="242A30"/>
                <w:sz w:val="18"/>
              </w:rPr>
              <w:t>开福棚改投接受概率</w:t>
            </w:r>
          </w:p>
        </w:tc>
        <w:tc>
          <w:tcPr>
            <w:tcW w:type="dxa" w:w="4876"/>
            <w:tcMar>
              <w:top w:w="90" w:type="dxa"/>
              <w:start w:w="110" w:type="dxa"/>
              <w:bottom w:w="90" w:type="dxa"/>
              <w:end w:w="110" w:type="dxa"/>
            </w:tcMar>
            <w:tcBorders>
              <w:top w:val="single" w:sz="5" w:color="C9C5B8"/>
              <w:start w:val="single" w:sz="5" w:color="C9C5B8"/>
              <w:bottom w:val="single" w:sz="5" w:color="C9C5B8"/>
              <w:end w:val="single" w:sz="5" w:color="C9C5B8"/>
              <w:insideH w:val="single" w:sz="5" w:color="C9C5B8"/>
              <w:insideV w:val="single" w:sz="5" w:color="C9C5B8"/>
            </w:tcBorders>
            <w:vAlign w:val="center"/>
            <w:shd w:fill="F5F4ED"/>
          </w:tcPr>
          <w:p>
            <w:pPr>
              <w:spacing w:after="0" w:line="288" w:lineRule="auto"/>
            </w:pPr>
            <w:r>
              <w:rPr>
                <w:rFonts w:ascii="Source Han Sans SC" w:hAnsi="Source Han Sans SC" w:eastAsia="Source Han Sans SC"/>
                <w:b w:val="0"/>
                <w:color w:val="242A30"/>
                <w:sz w:val="18"/>
              </w:rPr>
              <w:t>45%—65%；可用既有加固资料和政策补助降低成本，但会承担明确工期和履行责任</w:t>
            </w:r>
          </w:p>
        </w:tc>
      </w:tr>
      <w:tr>
        <w:tc>
          <w:tcPr>
            <w:tcW w:type="dxa" w:w="4876"/>
            <w:tcMar>
              <w:top w:w="90" w:type="dxa"/>
              <w:start w:w="110" w:type="dxa"/>
              <w:bottom w:w="90" w:type="dxa"/>
              <w:end w:w="110" w:type="dxa"/>
            </w:tcMar>
            <w:tcBorders>
              <w:top w:val="single" w:sz="5" w:color="C9C5B8"/>
              <w:start w:val="single" w:sz="5" w:color="C9C5B8"/>
              <w:bottom w:val="single" w:sz="5" w:color="C9C5B8"/>
              <w:end w:val="single" w:sz="5" w:color="C9C5B8"/>
              <w:insideH w:val="single" w:sz="5" w:color="C9C5B8"/>
              <w:insideV w:val="single" w:sz="5" w:color="C9C5B8"/>
            </w:tcBorders>
            <w:vAlign w:val="center"/>
            <w:shd w:fill="FFFFFF"/>
          </w:tcPr>
          <w:p>
            <w:pPr>
              <w:spacing w:after="0" w:line="288" w:lineRule="auto"/>
            </w:pPr>
            <w:r>
              <w:rPr>
                <w:rFonts w:ascii="Source Han Sans SC" w:hAnsi="Source Han Sans SC" w:eastAsia="Source Han Sans SC"/>
                <w:b w:val="0"/>
                <w:color w:val="242A30"/>
                <w:sz w:val="18"/>
              </w:rPr>
              <w:t>终局性</w:t>
            </w:r>
          </w:p>
        </w:tc>
        <w:tc>
          <w:tcPr>
            <w:tcW w:type="dxa" w:w="4876"/>
            <w:tcMar>
              <w:top w:w="90" w:type="dxa"/>
              <w:start w:w="110" w:type="dxa"/>
              <w:bottom w:w="90" w:type="dxa"/>
              <w:end w:w="110" w:type="dxa"/>
            </w:tcMar>
            <w:tcBorders>
              <w:top w:val="single" w:sz="5" w:color="C9C5B8"/>
              <w:start w:val="single" w:sz="5" w:color="C9C5B8"/>
              <w:bottom w:val="single" w:sz="5" w:color="C9C5B8"/>
              <w:end w:val="single" w:sz="5" w:color="C9C5B8"/>
              <w:insideH w:val="single" w:sz="5" w:color="C9C5B8"/>
              <w:insideV w:val="single" w:sz="5" w:color="C9C5B8"/>
            </w:tcBorders>
            <w:vAlign w:val="center"/>
            <w:shd w:fill="FFFFFF"/>
          </w:tcPr>
          <w:p>
            <w:pPr>
              <w:spacing w:after="0" w:line="288" w:lineRule="auto"/>
            </w:pPr>
            <w:r>
              <w:rPr>
                <w:rFonts w:ascii="Source Han Sans SC" w:hAnsi="Source Han Sans SC" w:eastAsia="Source Han Sans SC"/>
                <w:b w:val="0"/>
                <w:color w:val="242A30"/>
                <w:sz w:val="18"/>
              </w:rPr>
              <w:t>高于方案一；若复鉴范围覆盖基本功能，可显著减少再诉</w:t>
            </w:r>
          </w:p>
        </w:tc>
      </w:tr>
    </w:tbl>
    <w:p>
      <w:pPr>
        <w:spacing w:after="40"/>
      </w:pPr>
    </w:p>
    <w:p>
      <w:pPr>
        <w:pStyle w:val="Heading1"/>
      </w:pPr>
      <w:r>
        <w:rPr>
          <w:rFonts w:ascii="TsangerJinKai02" w:hAnsi="TsangerJinKai02" w:eastAsia="TsangerJinKai02"/>
          <w:b/>
          <w:color w:val="1B365D"/>
          <w:sz w:val="36"/>
        </w:rPr>
        <w:t>四、调解方案三：“一屋一策”城市更新型</w:t>
      </w:r>
    </w:p>
    <w:p>
      <w:pPr>
        <w:pStyle w:val="Heading2"/>
      </w:pPr>
      <w:r>
        <w:rPr>
          <w:rFonts w:ascii="TsangerJinKai02" w:hAnsi="TsangerJinKai02" w:eastAsia="TsangerJinKai02"/>
          <w:b/>
          <w:color w:val="1B365D"/>
          <w:sz w:val="28"/>
        </w:rPr>
        <w:t>1. 适用条件</w:t>
      </w:r>
    </w:p>
    <w:p>
      <w:r>
        <w:rPr>
          <w:rFonts w:ascii="Source Han Serif SC" w:hAnsi="Source Han Serif SC" w:eastAsia="Source Han Serif SC"/>
          <w:b w:val="0"/>
          <w:color w:val="242A30"/>
          <w:sz w:val="21"/>
        </w:rPr>
        <w:t>楼栋问题超出单项维修，需要把结构、排水、通行、消防、保护修缮和使用功能合并处理；具有实际组织能力的主体愿意签约；属地政府和相关部门愿意提供程序协调。</w:t>
      </w:r>
    </w:p>
    <w:p>
      <w:pPr>
        <w:pStyle w:val="Heading2"/>
      </w:pPr>
      <w:r>
        <w:rPr>
          <w:rFonts w:ascii="TsangerJinKai02" w:hAnsi="TsangerJinKai02" w:eastAsia="TsangerJinKai02"/>
          <w:b/>
          <w:color w:val="1B365D"/>
          <w:sz w:val="28"/>
        </w:rPr>
        <w:t>2. 必备内容</w:t>
      </w:r>
    </w:p>
    <w:p>
      <w:pPr>
        <w:pStyle w:val="ListNumber"/>
        <w:spacing w:after="60"/>
        <w:ind w:left="397" w:hanging="198"/>
      </w:pPr>
      <w:r>
        <w:rPr>
          <w:rFonts w:ascii="Source Han Serif SC" w:hAnsi="Source Han Serif SC" w:eastAsia="Source Han Serif SC"/>
          <w:b/>
          <w:color w:val="1B365D"/>
          <w:sz w:val="21"/>
        </w:rPr>
        <w:t>牵头主体</w:t>
      </w:r>
      <w:r>
        <w:rPr>
          <w:rFonts w:ascii="Source Han Serif SC" w:hAnsi="Source Han Serif SC" w:eastAsia="Source Han Serif SC"/>
          <w:b w:val="0"/>
          <w:color w:val="242A30"/>
          <w:sz w:val="21"/>
        </w:rPr>
        <w:t>：由开福棚改投或经项目文件确认的实际实施主体牵头。科棚若仅为运营或协调主体，不承担其无权履行的报批和建设义务。</w:t>
      </w:r>
    </w:p>
    <w:p>
      <w:pPr>
        <w:pStyle w:val="ListNumber"/>
        <w:spacing w:after="60"/>
        <w:ind w:left="397" w:hanging="198"/>
      </w:pPr>
      <w:r>
        <w:rPr>
          <w:rFonts w:ascii="Source Han Serif SC" w:hAnsi="Source Han Serif SC" w:eastAsia="Source Han Serif SC"/>
          <w:b/>
          <w:color w:val="1B365D"/>
          <w:sz w:val="21"/>
        </w:rPr>
        <w:t>调查期限</w:t>
      </w:r>
      <w:r>
        <w:rPr>
          <w:rFonts w:ascii="Source Han Serif SC" w:hAnsi="Source Han Serif SC" w:eastAsia="Source Han Serif SC"/>
          <w:b w:val="0"/>
          <w:color w:val="242A30"/>
          <w:sz w:val="21"/>
        </w:rPr>
        <w:t>：30日内完成产权、现状、历史文化价值、安全、消防、管线和使用需求调查。</w:t>
      </w:r>
    </w:p>
    <w:p>
      <w:pPr>
        <w:pStyle w:val="ListNumber"/>
        <w:spacing w:after="60"/>
        <w:ind w:left="397" w:hanging="198"/>
      </w:pPr>
      <w:r>
        <w:rPr>
          <w:rFonts w:ascii="Source Han Serif SC" w:hAnsi="Source Han Serif SC" w:eastAsia="Source Han Serif SC"/>
          <w:b/>
          <w:color w:val="1B365D"/>
          <w:sz w:val="21"/>
        </w:rPr>
        <w:t>方案期限</w:t>
      </w:r>
      <w:r>
        <w:rPr>
          <w:rFonts w:ascii="Source Han Serif SC" w:hAnsi="Source Han Serif SC" w:eastAsia="Source Han Serif SC"/>
          <w:b w:val="0"/>
          <w:color w:val="242A30"/>
          <w:sz w:val="21"/>
        </w:rPr>
        <w:t>：60日内形成《楠木厅12号一屋一策综合治理方案（送审稿）》；90日内完成产权人意见处理和首次报审。</w:t>
      </w:r>
    </w:p>
    <w:p>
      <w:pPr>
        <w:pStyle w:val="ListNumber"/>
        <w:spacing w:after="60"/>
        <w:ind w:left="397" w:hanging="198"/>
      </w:pPr>
      <w:r>
        <w:rPr>
          <w:rFonts w:ascii="Source Han Serif SC" w:hAnsi="Source Han Serif SC" w:eastAsia="Source Han Serif SC"/>
          <w:b/>
          <w:color w:val="1B365D"/>
          <w:sz w:val="21"/>
        </w:rPr>
        <w:t>最低方案内容</w:t>
      </w:r>
      <w:r>
        <w:rPr>
          <w:rFonts w:ascii="Source Han Serif SC" w:hAnsi="Source Han Serif SC" w:eastAsia="Source Han Serif SC"/>
          <w:b w:val="0"/>
          <w:color w:val="242A30"/>
          <w:sz w:val="21"/>
        </w:rPr>
        <w:t>：结构安全、地基与承重体系、围护、屋面、给排水、供电、消防、楼梯与疏散、围挡和日常通行、传统风貌保护、施工组织、过渡安置、资金来源、责任主体、工期、验收和后续管理。</w:t>
      </w:r>
    </w:p>
    <w:p>
      <w:pPr>
        <w:pStyle w:val="ListNumber"/>
        <w:spacing w:after="60"/>
        <w:ind w:left="397" w:hanging="198"/>
      </w:pPr>
      <w:r>
        <w:rPr>
          <w:rFonts w:ascii="Source Han Serif SC" w:hAnsi="Source Han Serif SC" w:eastAsia="Source Han Serif SC"/>
          <w:b/>
          <w:color w:val="1B365D"/>
          <w:sz w:val="21"/>
        </w:rPr>
        <w:t>审批义务</w:t>
      </w:r>
      <w:r>
        <w:rPr>
          <w:rFonts w:ascii="Source Han Serif SC" w:hAnsi="Source Han Serif SC" w:eastAsia="Source Han Serif SC"/>
          <w:b w:val="0"/>
          <w:color w:val="242A30"/>
          <w:sz w:val="21"/>
        </w:rPr>
        <w:t>：写成“按时申报、提交完整材料、收到补正后×日内补正、每月书面通报进度”，不得写成“保证审批通过”。</w:t>
      </w:r>
    </w:p>
    <w:p>
      <w:pPr>
        <w:pStyle w:val="ListNumber"/>
        <w:spacing w:after="60"/>
        <w:ind w:left="397" w:hanging="198"/>
      </w:pPr>
      <w:r>
        <w:rPr>
          <w:rFonts w:ascii="Source Han Serif SC" w:hAnsi="Source Han Serif SC" w:eastAsia="Source Han Serif SC"/>
          <w:b/>
          <w:color w:val="1B365D"/>
          <w:sz w:val="21"/>
        </w:rPr>
        <w:t>实施触发</w:t>
      </w:r>
      <w:r>
        <w:rPr>
          <w:rFonts w:ascii="Source Han Serif SC" w:hAnsi="Source Han Serif SC" w:eastAsia="Source Han Serif SC"/>
          <w:b w:val="0"/>
          <w:color w:val="242A30"/>
          <w:sz w:val="21"/>
        </w:rPr>
        <w:t>：取得法定审查和许可后10日内签署或启动工程合同，按批准方案实施。</w:t>
      </w:r>
    </w:p>
    <w:p>
      <w:pPr>
        <w:pStyle w:val="ListNumber"/>
        <w:spacing w:after="60"/>
        <w:ind w:left="397" w:hanging="198"/>
      </w:pPr>
      <w:r>
        <w:rPr>
          <w:rFonts w:ascii="Source Han Serif SC" w:hAnsi="Source Han Serif SC" w:eastAsia="Source Han Serif SC"/>
          <w:b/>
          <w:color w:val="1B365D"/>
          <w:sz w:val="21"/>
        </w:rPr>
        <w:t>审批失败替代</w:t>
      </w:r>
      <w:r>
        <w:rPr>
          <w:rFonts w:ascii="Source Han Serif SC" w:hAnsi="Source Han Serif SC" w:eastAsia="Source Han Serif SC"/>
          <w:b w:val="0"/>
          <w:color w:val="242A30"/>
          <w:sz w:val="21"/>
        </w:rPr>
        <w:t>：若在约定最长期限内因非任何一方可控制原因不能批准，自动转入方案二维修加固，或启动方案五收购置换谈判。</w:t>
      </w:r>
    </w:p>
    <w:p>
      <w:pPr>
        <w:pStyle w:val="Heading2"/>
      </w:pPr>
      <w:r>
        <w:rPr>
          <w:rFonts w:ascii="TsangerJinKai02" w:hAnsi="TsangerJinKai02" w:eastAsia="TsangerJinKai02"/>
          <w:b/>
          <w:color w:val="1B365D"/>
          <w:sz w:val="28"/>
        </w:rPr>
        <w:t>3. 法院能否写入调解书</w:t>
      </w:r>
    </w:p>
    <w:p>
      <w:r>
        <w:rPr>
          <w:rFonts w:ascii="Source Han Serif SC" w:hAnsi="Source Han Serif SC" w:eastAsia="Source Han Serif SC"/>
          <w:b w:val="0"/>
          <w:color w:val="242A30"/>
          <w:sz w:val="21"/>
        </w:rPr>
        <w:t>可以，但必须满足自愿、合法、主体有处分权、内容具体且不损害其他业主和公共利益。法院不能在判决中单方面要求行政机关批准城市更新，却可以确认民事主体自愿承担制定、申报、筹资、施工、配合和替代履行义务。未签字的行政机关、其他业主和第三方不能被调解书强加义务。</w:t>
      </w:r>
    </w:p>
    <w:p>
      <w:pPr>
        <w:pStyle w:val="Heading2"/>
      </w:pPr>
      <w:r>
        <w:rPr>
          <w:rFonts w:ascii="TsangerJinKai02" w:hAnsi="TsangerJinKai02" w:eastAsia="TsangerJinKai02"/>
          <w:b/>
          <w:color w:val="1B365D"/>
          <w:sz w:val="28"/>
        </w:rPr>
        <w:t>4. 评价</w:t>
      </w:r>
    </w:p>
    <w:p>
      <w:r>
        <w:rPr>
          <w:rFonts w:ascii="Source Han Serif SC" w:hAnsi="Source Han Serif SC" w:eastAsia="Source Han Serif SC"/>
          <w:b w:val="0"/>
          <w:color w:val="242A30"/>
          <w:sz w:val="21"/>
        </w:rPr>
        <w:t>成本中高，协调难度高，达成概率约40%—60%；一旦由正确实施主体签署，终局性较高。它比抽象“有机更新”可执行得多，因为方案、节点和失败替代路径被固定。</w:t>
      </w:r>
    </w:p>
    <w:p>
      <w:pPr>
        <w:pStyle w:val="Heading1"/>
      </w:pPr>
      <w:r>
        <w:rPr>
          <w:rFonts w:ascii="TsangerJinKai02" w:hAnsi="TsangerJinKai02" w:eastAsia="TsangerJinKai02"/>
          <w:b/>
          <w:color w:val="1B365D"/>
          <w:sz w:val="36"/>
        </w:rPr>
        <w:t>五、调解方案四：附条件原拆原建型</w:t>
      </w:r>
    </w:p>
    <w:p>
      <w:pPr>
        <w:pStyle w:val="Heading2"/>
      </w:pPr>
      <w:r>
        <w:rPr>
          <w:rFonts w:ascii="TsangerJinKai02" w:hAnsi="TsangerJinKai02" w:eastAsia="TsangerJinKai02"/>
          <w:b/>
          <w:color w:val="1B365D"/>
          <w:sz w:val="28"/>
        </w:rPr>
        <w:t>1. 仅在以下条件同时满足时启动</w:t>
      </w:r>
    </w:p>
    <w:p>
      <w:pPr>
        <w:pStyle w:val="ListBullet"/>
        <w:spacing w:after="60"/>
        <w:ind w:left="397" w:hanging="198"/>
      </w:pPr>
      <w:r>
        <w:rPr>
          <w:rFonts w:ascii="Source Han Serif SC" w:hAnsi="Source Han Serif SC" w:eastAsia="Source Han Serif SC"/>
          <w:b w:val="0"/>
          <w:color w:val="242A30"/>
          <w:sz w:val="21"/>
        </w:rPr>
        <w:t>独立专业论证认为维修加固在技术上不可行，或全寿命成本明显不合理；</w:t>
      </w:r>
    </w:p>
    <w:p>
      <w:pPr>
        <w:pStyle w:val="ListBullet"/>
        <w:spacing w:after="60"/>
        <w:ind w:left="397" w:hanging="198"/>
      </w:pPr>
      <w:r>
        <w:rPr>
          <w:rFonts w:ascii="Source Han Serif SC" w:hAnsi="Source Han Serif SC" w:eastAsia="Source Han Serif SC"/>
          <w:b w:val="0"/>
          <w:color w:val="242A30"/>
          <w:sz w:val="21"/>
        </w:rPr>
        <w:t>全体或依法所需比例产权人完成真实、书面、可核验的共同决定；</w:t>
      </w:r>
    </w:p>
    <w:p>
      <w:pPr>
        <w:pStyle w:val="ListBullet"/>
        <w:spacing w:after="60"/>
        <w:ind w:left="397" w:hanging="198"/>
      </w:pPr>
      <w:r>
        <w:rPr>
          <w:rFonts w:ascii="Source Han Serif SC" w:hAnsi="Source Han Serif SC" w:eastAsia="Source Han Serif SC"/>
          <w:b w:val="0"/>
          <w:color w:val="242A30"/>
          <w:sz w:val="21"/>
        </w:rPr>
        <w:t>明确拆建实施主体和资金来源；</w:t>
      </w:r>
    </w:p>
    <w:p>
      <w:pPr>
        <w:pStyle w:val="ListBullet"/>
        <w:spacing w:after="60"/>
        <w:ind w:left="397" w:hanging="198"/>
      </w:pPr>
      <w:r>
        <w:rPr>
          <w:rFonts w:ascii="Source Han Serif SC" w:hAnsi="Source Han Serif SC" w:eastAsia="Source Han Serif SC"/>
          <w:b w:val="0"/>
          <w:color w:val="242A30"/>
          <w:sz w:val="21"/>
        </w:rPr>
        <w:t>符合历史文化街区保护规划、建筑价值评估和风貌管控；</w:t>
      </w:r>
    </w:p>
    <w:p>
      <w:pPr>
        <w:pStyle w:val="ListBullet"/>
        <w:spacing w:after="60"/>
        <w:ind w:left="397" w:hanging="198"/>
      </w:pPr>
      <w:r>
        <w:rPr>
          <w:rFonts w:ascii="Source Han Serif SC" w:hAnsi="Source Han Serif SC" w:eastAsia="Source Han Serif SC"/>
          <w:b w:val="0"/>
          <w:color w:val="242A30"/>
          <w:sz w:val="21"/>
        </w:rPr>
        <w:t>取得规划、用地、建设、施工、消防等依法必需的审查和许可；</w:t>
      </w:r>
    </w:p>
    <w:p>
      <w:pPr>
        <w:pStyle w:val="ListBullet"/>
        <w:spacing w:after="60"/>
        <w:ind w:left="397" w:hanging="198"/>
      </w:pPr>
      <w:r>
        <w:rPr>
          <w:rFonts w:ascii="Source Han Serif SC" w:hAnsi="Source Han Serif SC" w:eastAsia="Source Han Serif SC"/>
          <w:b w:val="0"/>
          <w:color w:val="242A30"/>
          <w:sz w:val="21"/>
        </w:rPr>
        <w:t>不损害相邻权、公共安全和未签约产权人权利。</w:t>
      </w:r>
    </w:p>
    <w:p>
      <w:pPr>
        <w:pStyle w:val="Heading2"/>
      </w:pPr>
      <w:r>
        <w:rPr>
          <w:rFonts w:ascii="TsangerJinKai02" w:hAnsi="TsangerJinKai02" w:eastAsia="TsangerJinKai02"/>
          <w:b/>
          <w:color w:val="1B365D"/>
          <w:sz w:val="28"/>
        </w:rPr>
        <w:t>2. 完整条款模板</w:t>
      </w:r>
    </w:p>
    <w:p>
      <w:pPr>
        <w:pStyle w:val="ListNumber"/>
        <w:spacing w:after="60"/>
        <w:ind w:left="397" w:hanging="198"/>
      </w:pPr>
      <w:r>
        <w:rPr>
          <w:rFonts w:ascii="Source Han Serif SC" w:hAnsi="Source Han Serif SC" w:eastAsia="Source Han Serif SC"/>
          <w:b/>
          <w:color w:val="1B365D"/>
          <w:sz w:val="21"/>
        </w:rPr>
        <w:t>论证和申请</w:t>
      </w:r>
      <w:r>
        <w:rPr>
          <w:rFonts w:ascii="Source Han Serif SC" w:hAnsi="Source Han Serif SC" w:eastAsia="Source Han Serif SC"/>
          <w:b w:val="0"/>
          <w:color w:val="242A30"/>
          <w:sz w:val="21"/>
        </w:rPr>
        <w:t>：由[实施主体]在60日内委托两家无利害关系机构完成修缮与原拆原建比选；产权人会议确认后30日内报审。</w:t>
      </w:r>
    </w:p>
    <w:p>
      <w:pPr>
        <w:pStyle w:val="ListNumber"/>
        <w:spacing w:after="60"/>
        <w:ind w:left="397" w:hanging="198"/>
      </w:pPr>
      <w:r>
        <w:rPr>
          <w:rFonts w:ascii="Source Han Serif SC" w:hAnsi="Source Han Serif SC" w:eastAsia="Source Han Serif SC"/>
          <w:b/>
          <w:color w:val="1B365D"/>
          <w:sz w:val="21"/>
        </w:rPr>
        <w:t>费用</w:t>
      </w:r>
      <w:r>
        <w:rPr>
          <w:rFonts w:ascii="Source Han Serif SC" w:hAnsi="Source Han Serif SC" w:eastAsia="Source Han Serif SC"/>
          <w:b w:val="0"/>
          <w:color w:val="242A30"/>
          <w:sz w:val="21"/>
        </w:rPr>
        <w:t>：总费用、财政补助、产权人自筹、实施主体垫资及超预算处理分别列明；没有资金闭环不得约定开工日。</w:t>
      </w:r>
    </w:p>
    <w:p>
      <w:pPr>
        <w:pStyle w:val="ListNumber"/>
        <w:spacing w:after="60"/>
        <w:ind w:left="397" w:hanging="198"/>
      </w:pPr>
      <w:r>
        <w:rPr>
          <w:rFonts w:ascii="Source Han Serif SC" w:hAnsi="Source Han Serif SC" w:eastAsia="Source Han Serif SC"/>
          <w:b/>
          <w:color w:val="1B365D"/>
          <w:sz w:val="21"/>
        </w:rPr>
        <w:t>“四原”与保护条件</w:t>
      </w:r>
      <w:r>
        <w:rPr>
          <w:rFonts w:ascii="Source Han Serif SC" w:hAnsi="Source Han Serif SC" w:eastAsia="Source Han Serif SC"/>
          <w:b w:val="0"/>
          <w:color w:val="242A30"/>
          <w:sz w:val="21"/>
        </w:rPr>
        <w:t>：原则上按批准的原址、原面积、原高度、原用途实施；任何功能增加、面积变化以批准文件为准，不能在调解书中预先保证。</w:t>
      </w:r>
    </w:p>
    <w:p>
      <w:pPr>
        <w:pStyle w:val="ListNumber"/>
        <w:spacing w:after="60"/>
        <w:ind w:left="397" w:hanging="198"/>
      </w:pPr>
      <w:r>
        <w:rPr>
          <w:rFonts w:ascii="Source Han Serif SC" w:hAnsi="Source Han Serif SC" w:eastAsia="Source Han Serif SC"/>
          <w:b/>
          <w:color w:val="1B365D"/>
          <w:sz w:val="21"/>
        </w:rPr>
        <w:t>过渡安置</w:t>
      </w:r>
      <w:r>
        <w:rPr>
          <w:rFonts w:ascii="Source Han Serif SC" w:hAnsi="Source Han Serif SC" w:eastAsia="Source Han Serif SC"/>
          <w:b w:val="0"/>
          <w:color w:val="242A30"/>
          <w:sz w:val="21"/>
        </w:rPr>
        <w:t>：搬出日期、周转房地址或月度安置费、支付日、递增机制、停水停电条件、搬迁费和物品保管责任写清。</w:t>
      </w:r>
    </w:p>
    <w:p>
      <w:pPr>
        <w:pStyle w:val="ListNumber"/>
        <w:spacing w:after="60"/>
        <w:ind w:left="397" w:hanging="198"/>
      </w:pPr>
      <w:r>
        <w:rPr>
          <w:rFonts w:ascii="Source Han Serif SC" w:hAnsi="Source Han Serif SC" w:eastAsia="Source Han Serif SC"/>
          <w:b/>
          <w:color w:val="1B365D"/>
          <w:sz w:val="21"/>
        </w:rPr>
        <w:t>工期</w:t>
      </w:r>
      <w:r>
        <w:rPr>
          <w:rFonts w:ascii="Source Han Serif SC" w:hAnsi="Source Han Serif SC" w:eastAsia="Source Han Serif SC"/>
          <w:b w:val="0"/>
          <w:color w:val="242A30"/>
          <w:sz w:val="21"/>
        </w:rPr>
        <w:t>：以取得最后一项法定许可为开工条件，约定开工、封顶、竣工验收和交付节点；审批等待期设最长截止日。</w:t>
      </w:r>
    </w:p>
    <w:p>
      <w:pPr>
        <w:pStyle w:val="ListNumber"/>
        <w:spacing w:after="60"/>
        <w:ind w:left="397" w:hanging="198"/>
      </w:pPr>
      <w:r>
        <w:rPr>
          <w:rFonts w:ascii="Source Han Serif SC" w:hAnsi="Source Han Serif SC" w:eastAsia="Source Han Serif SC"/>
          <w:b/>
          <w:color w:val="1B365D"/>
          <w:sz w:val="21"/>
        </w:rPr>
        <w:t>交付标准</w:t>
      </w:r>
      <w:r>
        <w:rPr>
          <w:rFonts w:ascii="Source Han Serif SC" w:hAnsi="Source Han Serif SC" w:eastAsia="Source Han Serif SC"/>
          <w:b w:val="0"/>
          <w:color w:val="242A30"/>
          <w:sz w:val="21"/>
        </w:rPr>
        <w:t>：户型位置、建筑面积计算口径、层高、设施、装修、质量保修、公共部位、通行和消防以批准图纸和附件交付标准为准。</w:t>
      </w:r>
    </w:p>
    <w:p>
      <w:pPr>
        <w:pStyle w:val="ListNumber"/>
        <w:spacing w:after="60"/>
        <w:ind w:left="397" w:hanging="198"/>
      </w:pPr>
      <w:r>
        <w:rPr>
          <w:rFonts w:ascii="Source Han Serif SC" w:hAnsi="Source Han Serif SC" w:eastAsia="Source Han Serif SC"/>
          <w:b/>
          <w:color w:val="1B365D"/>
          <w:sz w:val="21"/>
        </w:rPr>
        <w:t>登记</w:t>
      </w:r>
      <w:r>
        <w:rPr>
          <w:rFonts w:ascii="Source Han Serif SC" w:hAnsi="Source Han Serif SC" w:eastAsia="Source Han Serif SC"/>
          <w:b w:val="0"/>
          <w:color w:val="242A30"/>
          <w:sz w:val="21"/>
        </w:rPr>
        <w:t>：明确注销、首次登记、分户登记、税费和历史权属瑕疵处理；无法登记时的退款、补偿或置换备选。</w:t>
      </w:r>
    </w:p>
    <w:p>
      <w:pPr>
        <w:pStyle w:val="ListNumber"/>
        <w:spacing w:after="60"/>
        <w:ind w:left="397" w:hanging="198"/>
      </w:pPr>
      <w:r>
        <w:rPr>
          <w:rFonts w:ascii="Source Han Serif SC" w:hAnsi="Source Han Serif SC" w:eastAsia="Source Han Serif SC"/>
          <w:b/>
          <w:color w:val="1B365D"/>
          <w:sz w:val="21"/>
        </w:rPr>
        <w:t>违约</w:t>
      </w:r>
      <w:r>
        <w:rPr>
          <w:rFonts w:ascii="Source Han Serif SC" w:hAnsi="Source Han Serif SC" w:eastAsia="Source Han Serif SC"/>
          <w:b w:val="0"/>
          <w:color w:val="242A30"/>
          <w:sz w:val="21"/>
        </w:rPr>
        <w:t>：逾期安置费、逾期交付违约金、质量修复、资金监管和解除权；不可抗力和政府审批不通过的界限写清。</w:t>
      </w:r>
    </w:p>
    <w:p>
      <w:pPr>
        <w:pStyle w:val="ListNumber"/>
        <w:spacing w:after="60"/>
        <w:ind w:left="397" w:hanging="198"/>
      </w:pPr>
      <w:r>
        <w:rPr>
          <w:rFonts w:ascii="Source Han Serif SC" w:hAnsi="Source Han Serif SC" w:eastAsia="Source Han Serif SC"/>
          <w:b/>
          <w:color w:val="1B365D"/>
          <w:sz w:val="21"/>
        </w:rPr>
        <w:t>替代路径</w:t>
      </w:r>
      <w:r>
        <w:rPr>
          <w:rFonts w:ascii="Source Han Serif SC" w:hAnsi="Source Han Serif SC" w:eastAsia="Source Han Serif SC"/>
          <w:b w:val="0"/>
          <w:color w:val="242A30"/>
          <w:sz w:val="21"/>
        </w:rPr>
        <w:t>：许可在最长期限内未获批，自动转入修缮加固或收购置换，不允许无限期“等待项目”。</w:t>
      </w:r>
    </w:p>
    <w:p>
      <w:pPr>
        <w:pStyle w:val="Heading2"/>
      </w:pPr>
      <w:r>
        <w:rPr>
          <w:rFonts w:ascii="TsangerJinKai02" w:hAnsi="TsangerJinKai02" w:eastAsia="TsangerJinKai02"/>
          <w:b/>
          <w:color w:val="1B365D"/>
          <w:sz w:val="28"/>
        </w:rPr>
        <w:t>3. 可行性</w:t>
      </w:r>
    </w:p>
    <w:p>
      <w:r>
        <w:rPr>
          <w:rFonts w:ascii="Source Han Serif SC" w:hAnsi="Source Han Serif SC" w:eastAsia="Source Han Serif SC"/>
          <w:b w:val="0"/>
          <w:color w:val="242A30"/>
          <w:sz w:val="21"/>
        </w:rPr>
        <w:t>潮宗街历史文化街区从严控制拆除，现实达成概率约20%—35%。如楠木厅12号并非历史建筑但位于保护范围，仍需符合保护规划；如属于历史建筑、传统风貌建筑或不可移动文物，可行性进一步下降。此方案不宜成为开庭时的首要诉请，但可作为技术论证否定修缮后才启动的第四档调解。</w:t>
      </w:r>
    </w:p>
    <w:p>
      <w:pPr>
        <w:pStyle w:val="Heading1"/>
      </w:pPr>
      <w:r>
        <w:rPr>
          <w:rFonts w:ascii="TsangerJinKai02" w:hAnsi="TsangerJinKai02" w:eastAsia="TsangerJinKai02"/>
          <w:b/>
          <w:color w:val="1B365D"/>
          <w:sz w:val="36"/>
        </w:rPr>
        <w:t>六、调解方案五：产权收购／置换型</w:t>
      </w:r>
    </w:p>
    <w:p>
      <w:pPr>
        <w:pStyle w:val="Heading2"/>
      </w:pPr>
      <w:r>
        <w:rPr>
          <w:rFonts w:ascii="TsangerJinKai02" w:hAnsi="TsangerJinKai02" w:eastAsia="TsangerJinKai02"/>
          <w:b/>
          <w:color w:val="1B365D"/>
          <w:sz w:val="28"/>
        </w:rPr>
        <w:t>1. 政策定位</w:t>
      </w:r>
    </w:p>
    <w:p>
      <w:r>
        <w:rPr>
          <w:rFonts w:ascii="Source Han Serif SC" w:hAnsi="Source Han Serif SC" w:eastAsia="Source Han Serif SC"/>
          <w:b w:val="0"/>
          <w:color w:val="242A30"/>
          <w:sz w:val="21"/>
        </w:rPr>
        <w:t>长政办发〔2026〕6号“鼓励成片收购存量房屋进行片区更新”，说明市场化收购是被认可的更新工具。它不能产生强制收购义务，但可以支持法官询问各方是否愿意通过产权交易一次性解决长期使用、治理和项目协调问题。</w:t>
      </w:r>
    </w:p>
    <w:p>
      <w:pPr>
        <w:pStyle w:val="Heading2"/>
      </w:pPr>
      <w:r>
        <w:rPr>
          <w:rFonts w:ascii="TsangerJinKai02" w:hAnsi="TsangerJinKai02" w:eastAsia="TsangerJinKai02"/>
          <w:b/>
          <w:color w:val="1B365D"/>
          <w:sz w:val="28"/>
        </w:rPr>
        <w:t>2. 四种交易结构</w:t>
      </w:r>
    </w:p>
    <w:p>
      <w:pPr>
        <w:pStyle w:val="Heading3"/>
      </w:pPr>
      <w:r>
        <w:rPr>
          <w:rFonts w:ascii="Source Han Sans SC" w:hAnsi="Source Han Sans SC" w:eastAsia="Source Han Sans SC"/>
          <w:b/>
          <w:color w:val="284F76"/>
          <w:sz w:val="23"/>
        </w:rPr>
        <w:t>A. 现金收购</w:t>
      </w:r>
    </w:p>
    <w:p>
      <w:r>
        <w:rPr>
          <w:rFonts w:ascii="Source Han Serif SC" w:hAnsi="Source Han Serif SC" w:eastAsia="Source Han Serif SC"/>
          <w:b w:val="0"/>
          <w:color w:val="242A30"/>
          <w:sz w:val="21"/>
        </w:rPr>
        <w:t>由双方共同选择评估机构，分别评估现状价值、合法权利状态、区位和交易条件。约定总价、定金、监管账户、付款节点、税费、权属注销/转移、腾退、欠费、原告既有索赔是否包含在总价中。不得替原告降低既有谈判底线；评估只是谈判依据，不当然等于成交价。</w:t>
      </w:r>
    </w:p>
    <w:p>
      <w:pPr>
        <w:pStyle w:val="Heading3"/>
      </w:pPr>
      <w:r>
        <w:rPr>
          <w:rFonts w:ascii="Source Han Sans SC" w:hAnsi="Source Han Sans SC" w:eastAsia="Source Han Sans SC"/>
          <w:b/>
          <w:color w:val="284F76"/>
          <w:sz w:val="23"/>
        </w:rPr>
        <w:t>B. 住宅产权置换</w:t>
      </w:r>
    </w:p>
    <w:p>
      <w:r>
        <w:rPr>
          <w:rFonts w:ascii="Source Han Serif SC" w:hAnsi="Source Han Serif SC" w:eastAsia="Source Han Serif SC"/>
          <w:b w:val="0"/>
          <w:color w:val="242A30"/>
          <w:sz w:val="21"/>
        </w:rPr>
        <w:t>明确置换房项目、楼栋、楼层、户型、套内/建筑面积、面积差价、交付日、现房或期房、权证、装修、物业费、过渡安置和不能交付的现金退出条款。</w:t>
      </w:r>
    </w:p>
    <w:p>
      <w:pPr>
        <w:pStyle w:val="Heading3"/>
      </w:pPr>
      <w:r>
        <w:rPr>
          <w:rFonts w:ascii="Source Han Sans SC" w:hAnsi="Source Han Sans SC" w:eastAsia="Source Han Sans SC"/>
          <w:b/>
          <w:color w:val="284F76"/>
          <w:sz w:val="23"/>
        </w:rPr>
        <w:t>C. 商业物业置换</w:t>
      </w:r>
    </w:p>
    <w:p>
      <w:r>
        <w:rPr>
          <w:rFonts w:ascii="Source Han Serif SC" w:hAnsi="Source Han Serif SC" w:eastAsia="Source Han Serif SC"/>
          <w:b w:val="0"/>
          <w:color w:val="242A30"/>
          <w:sz w:val="21"/>
        </w:rPr>
        <w:t>明确商业物业的规划用途、可登记性、面积、位置、人流和经营限制、租赁现状、税费、物业成本以及收益承诺的法律性质。不得用无证、用途不符或仅有经营权的物业替代产权。</w:t>
      </w:r>
    </w:p>
    <w:p>
      <w:pPr>
        <w:pStyle w:val="Heading3"/>
      </w:pPr>
      <w:r>
        <w:rPr>
          <w:rFonts w:ascii="Source Han Sans SC" w:hAnsi="Source Han Sans SC" w:eastAsia="Source Han Sans SC"/>
          <w:b/>
          <w:color w:val="284F76"/>
          <w:sz w:val="23"/>
        </w:rPr>
        <w:t>D. 现金＋物业组合</w:t>
      </w:r>
    </w:p>
    <w:p>
      <w:r>
        <w:rPr>
          <w:rFonts w:ascii="Source Han Serif SC" w:hAnsi="Source Han Serif SC" w:eastAsia="Source Han Serif SC"/>
          <w:b w:val="0"/>
          <w:color w:val="242A30"/>
          <w:sz w:val="21"/>
        </w:rPr>
        <w:t>以现金解决搬迁、历史损失和面积差，以可登记物业保留长期价值。分别写明每一部分的估值、交付和违约，不使用模糊的“等值置换”。</w:t>
      </w:r>
    </w:p>
    <w:p>
      <w:pPr>
        <w:pStyle w:val="Heading2"/>
      </w:pPr>
      <w:r>
        <w:rPr>
          <w:rFonts w:ascii="TsangerJinKai02" w:hAnsi="TsangerJinKai02" w:eastAsia="TsangerJinKai02"/>
          <w:b/>
          <w:color w:val="1B365D"/>
          <w:sz w:val="28"/>
        </w:rPr>
        <w:t>3. 评价</w:t>
      </w:r>
    </w:p>
    <w:tbl>
      <w:tblPr>
        <w:tblW w:type="auto" w:w="0"/>
        <w:jc w:val="center"/>
        <w:tblLayout w:type="autofit"/>
        <w:tblLook w:firstColumn="1" w:firstRow="1" w:lastColumn="0" w:lastRow="0" w:noHBand="0" w:noVBand="1" w:val="04A0"/>
      </w:tblPr>
      <w:tblGrid>
        <w:gridCol w:w="4876"/>
        <w:gridCol w:w="4876"/>
      </w:tblGrid>
      <w:tr>
        <w:trPr>
          <w:tblHeader w:val="true"/>
        </w:trPr>
        <w:tc>
          <w:tcPr>
            <w:tcW w:type="dxa" w:w="4876"/>
            <w:tcMar>
              <w:top w:w="90" w:type="dxa"/>
              <w:start w:w="110" w:type="dxa"/>
              <w:bottom w:w="90" w:type="dxa"/>
              <w:end w:w="110" w:type="dxa"/>
            </w:tcMar>
            <w:tcBorders>
              <w:top w:val="single" w:sz="5" w:color="C9C5B8"/>
              <w:start w:val="single" w:sz="5" w:color="C9C5B8"/>
              <w:bottom w:val="single" w:sz="5" w:color="C9C5B8"/>
              <w:end w:val="single" w:sz="5" w:color="C9C5B8"/>
              <w:insideH w:val="single" w:sz="5" w:color="C9C5B8"/>
              <w:insideV w:val="single" w:sz="5" w:color="C9C5B8"/>
            </w:tcBorders>
            <w:vAlign w:val="center"/>
            <w:shd w:fill="1B365D"/>
          </w:tcPr>
          <w:p>
            <w:pPr>
              <w:spacing w:after="0" w:line="288" w:lineRule="auto"/>
            </w:pPr>
            <w:r>
              <w:rPr>
                <w:rFonts w:ascii="Source Han Sans SC" w:hAnsi="Source Han Sans SC" w:eastAsia="Source Han Sans SC"/>
                <w:b/>
                <w:color w:val="FFFFFF"/>
                <w:sz w:val="18"/>
              </w:rPr>
              <w:t>指标</w:t>
            </w:r>
          </w:p>
        </w:tc>
        <w:tc>
          <w:tcPr>
            <w:tcW w:type="dxa" w:w="4876"/>
            <w:tcMar>
              <w:top w:w="90" w:type="dxa"/>
              <w:start w:w="110" w:type="dxa"/>
              <w:bottom w:w="90" w:type="dxa"/>
              <w:end w:w="110" w:type="dxa"/>
            </w:tcMar>
            <w:tcBorders>
              <w:top w:val="single" w:sz="5" w:color="C9C5B8"/>
              <w:start w:val="single" w:sz="5" w:color="C9C5B8"/>
              <w:bottom w:val="single" w:sz="5" w:color="C9C5B8"/>
              <w:end w:val="single" w:sz="5" w:color="C9C5B8"/>
              <w:insideH w:val="single" w:sz="5" w:color="C9C5B8"/>
              <w:insideV w:val="single" w:sz="5" w:color="C9C5B8"/>
            </w:tcBorders>
            <w:vAlign w:val="center"/>
            <w:shd w:fill="1B365D"/>
          </w:tcPr>
          <w:p>
            <w:pPr>
              <w:spacing w:after="0" w:line="288" w:lineRule="auto"/>
            </w:pPr>
            <w:r>
              <w:rPr>
                <w:rFonts w:ascii="Source Han Sans SC" w:hAnsi="Source Han Sans SC" w:eastAsia="Source Han Sans SC"/>
                <w:b/>
                <w:color w:val="FFFFFF"/>
                <w:sz w:val="18"/>
              </w:rPr>
              <w:t>评价</w:t>
            </w:r>
          </w:p>
        </w:tc>
      </w:tr>
      <w:tr>
        <w:tc>
          <w:tcPr>
            <w:tcW w:type="dxa" w:w="4876"/>
            <w:tcMar>
              <w:top w:w="90" w:type="dxa"/>
              <w:start w:w="110" w:type="dxa"/>
              <w:bottom w:w="90" w:type="dxa"/>
              <w:end w:w="110" w:type="dxa"/>
            </w:tcMar>
            <w:tcBorders>
              <w:top w:val="single" w:sz="5" w:color="C9C5B8"/>
              <w:start w:val="single" w:sz="5" w:color="C9C5B8"/>
              <w:bottom w:val="single" w:sz="5" w:color="C9C5B8"/>
              <w:end w:val="single" w:sz="5" w:color="C9C5B8"/>
              <w:insideH w:val="single" w:sz="5" w:color="C9C5B8"/>
              <w:insideV w:val="single" w:sz="5" w:color="C9C5B8"/>
            </w:tcBorders>
            <w:vAlign w:val="center"/>
            <w:shd w:fill="F5F4ED"/>
          </w:tcPr>
          <w:p>
            <w:pPr>
              <w:spacing w:after="0" w:line="288" w:lineRule="auto"/>
            </w:pPr>
            <w:r>
              <w:rPr>
                <w:rFonts w:ascii="Source Han Sans SC" w:hAnsi="Source Han Sans SC" w:eastAsia="Source Han Sans SC"/>
                <w:b w:val="0"/>
                <w:color w:val="242A30"/>
                <w:sz w:val="18"/>
              </w:rPr>
              <w:t>成本</w:t>
            </w:r>
          </w:p>
        </w:tc>
        <w:tc>
          <w:tcPr>
            <w:tcW w:type="dxa" w:w="4876"/>
            <w:tcMar>
              <w:top w:w="90" w:type="dxa"/>
              <w:start w:w="110" w:type="dxa"/>
              <w:bottom w:w="90" w:type="dxa"/>
              <w:end w:w="110" w:type="dxa"/>
            </w:tcMar>
            <w:tcBorders>
              <w:top w:val="single" w:sz="5" w:color="C9C5B8"/>
              <w:start w:val="single" w:sz="5" w:color="C9C5B8"/>
              <w:bottom w:val="single" w:sz="5" w:color="C9C5B8"/>
              <w:end w:val="single" w:sz="5" w:color="C9C5B8"/>
              <w:insideH w:val="single" w:sz="5" w:color="C9C5B8"/>
              <w:insideV w:val="single" w:sz="5" w:color="C9C5B8"/>
            </w:tcBorders>
            <w:vAlign w:val="center"/>
            <w:shd w:fill="F5F4ED"/>
          </w:tcPr>
          <w:p>
            <w:pPr>
              <w:spacing w:after="0" w:line="288" w:lineRule="auto"/>
            </w:pPr>
            <w:r>
              <w:rPr>
                <w:rFonts w:ascii="Source Han Sans SC" w:hAnsi="Source Han Sans SC" w:eastAsia="Source Han Sans SC"/>
                <w:b w:val="0"/>
                <w:color w:val="242A30"/>
                <w:sz w:val="18"/>
              </w:rPr>
              <w:t>对收购方高，但可获得完整产权和项目控制</w:t>
            </w:r>
          </w:p>
        </w:tc>
      </w:tr>
      <w:tr>
        <w:tc>
          <w:tcPr>
            <w:tcW w:type="dxa" w:w="4876"/>
            <w:tcMar>
              <w:top w:w="90" w:type="dxa"/>
              <w:start w:w="110" w:type="dxa"/>
              <w:bottom w:w="90" w:type="dxa"/>
              <w:end w:w="110" w:type="dxa"/>
            </w:tcMar>
            <w:tcBorders>
              <w:top w:val="single" w:sz="5" w:color="C9C5B8"/>
              <w:start w:val="single" w:sz="5" w:color="C9C5B8"/>
              <w:bottom w:val="single" w:sz="5" w:color="C9C5B8"/>
              <w:end w:val="single" w:sz="5" w:color="C9C5B8"/>
              <w:insideH w:val="single" w:sz="5" w:color="C9C5B8"/>
              <w:insideV w:val="single" w:sz="5" w:color="C9C5B8"/>
            </w:tcBorders>
            <w:vAlign w:val="center"/>
            <w:shd w:fill="FFFFFF"/>
          </w:tcPr>
          <w:p>
            <w:pPr>
              <w:spacing w:after="0" w:line="288" w:lineRule="auto"/>
            </w:pPr>
            <w:r>
              <w:rPr>
                <w:rFonts w:ascii="Source Han Sans SC" w:hAnsi="Source Han Sans SC" w:eastAsia="Source Han Sans SC"/>
                <w:b w:val="0"/>
                <w:color w:val="242A30"/>
                <w:sz w:val="18"/>
              </w:rPr>
              <w:t>执行性</w:t>
            </w:r>
          </w:p>
        </w:tc>
        <w:tc>
          <w:tcPr>
            <w:tcW w:type="dxa" w:w="4876"/>
            <w:tcMar>
              <w:top w:w="90" w:type="dxa"/>
              <w:start w:w="110" w:type="dxa"/>
              <w:bottom w:w="90" w:type="dxa"/>
              <w:end w:w="110" w:type="dxa"/>
            </w:tcMar>
            <w:tcBorders>
              <w:top w:val="single" w:sz="5" w:color="C9C5B8"/>
              <w:start w:val="single" w:sz="5" w:color="C9C5B8"/>
              <w:bottom w:val="single" w:sz="5" w:color="C9C5B8"/>
              <w:end w:val="single" w:sz="5" w:color="C9C5B8"/>
              <w:insideH w:val="single" w:sz="5" w:color="C9C5B8"/>
              <w:insideV w:val="single" w:sz="5" w:color="C9C5B8"/>
            </w:tcBorders>
            <w:vAlign w:val="center"/>
            <w:shd w:fill="FFFFFF"/>
          </w:tcPr>
          <w:p>
            <w:pPr>
              <w:spacing w:after="0" w:line="288" w:lineRule="auto"/>
            </w:pPr>
            <w:r>
              <w:rPr>
                <w:rFonts w:ascii="Source Han Sans SC" w:hAnsi="Source Han Sans SC" w:eastAsia="Source Han Sans SC"/>
                <w:b w:val="0"/>
                <w:color w:val="242A30"/>
                <w:sz w:val="18"/>
              </w:rPr>
              <w:t>交易文件、资金监管和可登记标的确定后高</w:t>
            </w:r>
          </w:p>
        </w:tc>
      </w:tr>
      <w:tr>
        <w:tc>
          <w:tcPr>
            <w:tcW w:type="dxa" w:w="4876"/>
            <w:tcMar>
              <w:top w:w="90" w:type="dxa"/>
              <w:start w:w="110" w:type="dxa"/>
              <w:bottom w:w="90" w:type="dxa"/>
              <w:end w:w="110" w:type="dxa"/>
            </w:tcMar>
            <w:tcBorders>
              <w:top w:val="single" w:sz="5" w:color="C9C5B8"/>
              <w:start w:val="single" w:sz="5" w:color="C9C5B8"/>
              <w:bottom w:val="single" w:sz="5" w:color="C9C5B8"/>
              <w:end w:val="single" w:sz="5" w:color="C9C5B8"/>
              <w:insideH w:val="single" w:sz="5" w:color="C9C5B8"/>
              <w:insideV w:val="single" w:sz="5" w:color="C9C5B8"/>
            </w:tcBorders>
            <w:vAlign w:val="center"/>
            <w:shd w:fill="F5F4ED"/>
          </w:tcPr>
          <w:p>
            <w:pPr>
              <w:spacing w:after="0" w:line="288" w:lineRule="auto"/>
            </w:pPr>
            <w:r>
              <w:rPr>
                <w:rFonts w:ascii="Source Han Sans SC" w:hAnsi="Source Han Sans SC" w:eastAsia="Source Han Sans SC"/>
                <w:b w:val="0"/>
                <w:color w:val="242A30"/>
                <w:sz w:val="18"/>
              </w:rPr>
              <w:t>原告接受概率</w:t>
            </w:r>
          </w:p>
        </w:tc>
        <w:tc>
          <w:tcPr>
            <w:tcW w:type="dxa" w:w="4876"/>
            <w:tcMar>
              <w:top w:w="90" w:type="dxa"/>
              <w:start w:w="110" w:type="dxa"/>
              <w:bottom w:w="90" w:type="dxa"/>
              <w:end w:w="110" w:type="dxa"/>
            </w:tcMar>
            <w:tcBorders>
              <w:top w:val="single" w:sz="5" w:color="C9C5B8"/>
              <w:start w:val="single" w:sz="5" w:color="C9C5B8"/>
              <w:bottom w:val="single" w:sz="5" w:color="C9C5B8"/>
              <w:end w:val="single" w:sz="5" w:color="C9C5B8"/>
              <w:insideH w:val="single" w:sz="5" w:color="C9C5B8"/>
              <w:insideV w:val="single" w:sz="5" w:color="C9C5B8"/>
            </w:tcBorders>
            <w:vAlign w:val="center"/>
            <w:shd w:fill="F5F4ED"/>
          </w:tcPr>
          <w:p>
            <w:pPr>
              <w:spacing w:after="0" w:line="288" w:lineRule="auto"/>
            </w:pPr>
            <w:r>
              <w:rPr>
                <w:rFonts w:ascii="Source Han Sans SC" w:hAnsi="Source Han Sans SC" w:eastAsia="Source Han Sans SC"/>
                <w:b w:val="0"/>
                <w:color w:val="242A30"/>
                <w:sz w:val="18"/>
              </w:rPr>
              <w:t>取决于价格、置换质量和是否覆盖历史争议，约35%—70%</w:t>
            </w:r>
          </w:p>
        </w:tc>
      </w:tr>
      <w:tr>
        <w:tc>
          <w:tcPr>
            <w:tcW w:type="dxa" w:w="4876"/>
            <w:tcMar>
              <w:top w:w="90" w:type="dxa"/>
              <w:start w:w="110" w:type="dxa"/>
              <w:bottom w:w="90" w:type="dxa"/>
              <w:end w:w="110" w:type="dxa"/>
            </w:tcMar>
            <w:tcBorders>
              <w:top w:val="single" w:sz="5" w:color="C9C5B8"/>
              <w:start w:val="single" w:sz="5" w:color="C9C5B8"/>
              <w:bottom w:val="single" w:sz="5" w:color="C9C5B8"/>
              <w:end w:val="single" w:sz="5" w:color="C9C5B8"/>
              <w:insideH w:val="single" w:sz="5" w:color="C9C5B8"/>
              <w:insideV w:val="single" w:sz="5" w:color="C9C5B8"/>
            </w:tcBorders>
            <w:vAlign w:val="center"/>
            <w:shd w:fill="FFFFFF"/>
          </w:tcPr>
          <w:p>
            <w:pPr>
              <w:spacing w:after="0" w:line="288" w:lineRule="auto"/>
            </w:pPr>
            <w:r>
              <w:rPr>
                <w:rFonts w:ascii="Source Han Sans SC" w:hAnsi="Source Han Sans SC" w:eastAsia="Source Han Sans SC"/>
                <w:b w:val="0"/>
                <w:color w:val="242A30"/>
                <w:sz w:val="18"/>
              </w:rPr>
              <w:t>科棚接受概率</w:t>
            </w:r>
          </w:p>
        </w:tc>
        <w:tc>
          <w:tcPr>
            <w:tcW w:type="dxa" w:w="4876"/>
            <w:tcMar>
              <w:top w:w="90" w:type="dxa"/>
              <w:start w:w="110" w:type="dxa"/>
              <w:bottom w:w="90" w:type="dxa"/>
              <w:end w:w="110" w:type="dxa"/>
            </w:tcMar>
            <w:tcBorders>
              <w:top w:val="single" w:sz="5" w:color="C9C5B8"/>
              <w:start w:val="single" w:sz="5" w:color="C9C5B8"/>
              <w:bottom w:val="single" w:sz="5" w:color="C9C5B8"/>
              <w:end w:val="single" w:sz="5" w:color="C9C5B8"/>
              <w:insideH w:val="single" w:sz="5" w:color="C9C5B8"/>
              <w:insideV w:val="single" w:sz="5" w:color="C9C5B8"/>
            </w:tcBorders>
            <w:vAlign w:val="center"/>
            <w:shd w:fill="FFFFFF"/>
          </w:tcPr>
          <w:p>
            <w:pPr>
              <w:spacing w:after="0" w:line="288" w:lineRule="auto"/>
            </w:pPr>
            <w:r>
              <w:rPr>
                <w:rFonts w:ascii="Source Han Sans SC" w:hAnsi="Source Han Sans SC" w:eastAsia="Source Han Sans SC"/>
                <w:b w:val="0"/>
                <w:color w:val="242A30"/>
                <w:sz w:val="18"/>
              </w:rPr>
              <w:t>若其没有购房权限则低；若代表投资运营方且有明确收益模型则上升</w:t>
            </w:r>
          </w:p>
        </w:tc>
      </w:tr>
      <w:tr>
        <w:tc>
          <w:tcPr>
            <w:tcW w:type="dxa" w:w="4876"/>
            <w:tcMar>
              <w:top w:w="90" w:type="dxa"/>
              <w:start w:w="110" w:type="dxa"/>
              <w:bottom w:w="90" w:type="dxa"/>
              <w:end w:w="110" w:type="dxa"/>
            </w:tcMar>
            <w:tcBorders>
              <w:top w:val="single" w:sz="5" w:color="C9C5B8"/>
              <w:start w:val="single" w:sz="5" w:color="C9C5B8"/>
              <w:bottom w:val="single" w:sz="5" w:color="C9C5B8"/>
              <w:end w:val="single" w:sz="5" w:color="C9C5B8"/>
              <w:insideH w:val="single" w:sz="5" w:color="C9C5B8"/>
              <w:insideV w:val="single" w:sz="5" w:color="C9C5B8"/>
            </w:tcBorders>
            <w:vAlign w:val="center"/>
            <w:shd w:fill="F5F4ED"/>
          </w:tcPr>
          <w:p>
            <w:pPr>
              <w:spacing w:after="0" w:line="288" w:lineRule="auto"/>
            </w:pPr>
            <w:r>
              <w:rPr>
                <w:rFonts w:ascii="Source Han Sans SC" w:hAnsi="Source Han Sans SC" w:eastAsia="Source Han Sans SC"/>
                <w:b w:val="0"/>
                <w:color w:val="242A30"/>
                <w:sz w:val="18"/>
              </w:rPr>
              <w:t>开福棚改投接受概率</w:t>
            </w:r>
          </w:p>
        </w:tc>
        <w:tc>
          <w:tcPr>
            <w:tcW w:type="dxa" w:w="4876"/>
            <w:tcMar>
              <w:top w:w="90" w:type="dxa"/>
              <w:start w:w="110" w:type="dxa"/>
              <w:bottom w:w="90" w:type="dxa"/>
              <w:end w:w="110" w:type="dxa"/>
            </w:tcMar>
            <w:tcBorders>
              <w:top w:val="single" w:sz="5" w:color="C9C5B8"/>
              <w:start w:val="single" w:sz="5" w:color="C9C5B8"/>
              <w:bottom w:val="single" w:sz="5" w:color="C9C5B8"/>
              <w:end w:val="single" w:sz="5" w:color="C9C5B8"/>
              <w:insideH w:val="single" w:sz="5" w:color="C9C5B8"/>
              <w:insideV w:val="single" w:sz="5" w:color="C9C5B8"/>
            </w:tcBorders>
            <w:vAlign w:val="center"/>
            <w:shd w:fill="F5F4ED"/>
          </w:tcPr>
          <w:p>
            <w:pPr>
              <w:spacing w:after="0" w:line="288" w:lineRule="auto"/>
            </w:pPr>
            <w:r>
              <w:rPr>
                <w:rFonts w:ascii="Source Han Sans SC" w:hAnsi="Source Han Sans SC" w:eastAsia="Source Han Sans SC"/>
                <w:b w:val="0"/>
                <w:color w:val="242A30"/>
                <w:sz w:val="18"/>
              </w:rPr>
              <w:t>取决于项目授权、资金和收储安排，不能仅凭政策推测</w:t>
            </w:r>
          </w:p>
        </w:tc>
      </w:tr>
      <w:tr>
        <w:tc>
          <w:tcPr>
            <w:tcW w:type="dxa" w:w="4876"/>
            <w:tcMar>
              <w:top w:w="90" w:type="dxa"/>
              <w:start w:w="110" w:type="dxa"/>
              <w:bottom w:w="90" w:type="dxa"/>
              <w:end w:w="110" w:type="dxa"/>
            </w:tcMar>
            <w:tcBorders>
              <w:top w:val="single" w:sz="5" w:color="C9C5B8"/>
              <w:start w:val="single" w:sz="5" w:color="C9C5B8"/>
              <w:bottom w:val="single" w:sz="5" w:color="C9C5B8"/>
              <w:end w:val="single" w:sz="5" w:color="C9C5B8"/>
              <w:insideH w:val="single" w:sz="5" w:color="C9C5B8"/>
              <w:insideV w:val="single" w:sz="5" w:color="C9C5B8"/>
            </w:tcBorders>
            <w:vAlign w:val="center"/>
            <w:shd w:fill="FFFFFF"/>
          </w:tcPr>
          <w:p>
            <w:pPr>
              <w:spacing w:after="0" w:line="288" w:lineRule="auto"/>
            </w:pPr>
            <w:r>
              <w:rPr>
                <w:rFonts w:ascii="Source Han Sans SC" w:hAnsi="Source Han Sans SC" w:eastAsia="Source Han Sans SC"/>
                <w:b w:val="0"/>
                <w:color w:val="242A30"/>
                <w:sz w:val="18"/>
              </w:rPr>
              <w:t>终局性</w:t>
            </w:r>
          </w:p>
        </w:tc>
        <w:tc>
          <w:tcPr>
            <w:tcW w:type="dxa" w:w="4876"/>
            <w:tcMar>
              <w:top w:w="90" w:type="dxa"/>
              <w:start w:w="110" w:type="dxa"/>
              <w:bottom w:w="90" w:type="dxa"/>
              <w:end w:w="110" w:type="dxa"/>
            </w:tcMar>
            <w:tcBorders>
              <w:top w:val="single" w:sz="5" w:color="C9C5B8"/>
              <w:start w:val="single" w:sz="5" w:color="C9C5B8"/>
              <w:bottom w:val="single" w:sz="5" w:color="C9C5B8"/>
              <w:end w:val="single" w:sz="5" w:color="C9C5B8"/>
              <w:insideH w:val="single" w:sz="5" w:color="C9C5B8"/>
              <w:insideV w:val="single" w:sz="5" w:color="C9C5B8"/>
            </w:tcBorders>
            <w:vAlign w:val="center"/>
            <w:shd w:fill="FFFFFF"/>
          </w:tcPr>
          <w:p>
            <w:pPr>
              <w:spacing w:after="0" w:line="288" w:lineRule="auto"/>
            </w:pPr>
            <w:r>
              <w:rPr>
                <w:rFonts w:ascii="Source Han Sans SC" w:hAnsi="Source Han Sans SC" w:eastAsia="Source Han Sans SC"/>
                <w:b w:val="0"/>
                <w:color w:val="242A30"/>
                <w:sz w:val="18"/>
              </w:rPr>
              <w:t>最高，可通过权利转移和诉讼撤回/调解结案彻底退出持续冲突</w:t>
            </w:r>
          </w:p>
        </w:tc>
      </w:tr>
    </w:tbl>
    <w:p>
      <w:pPr>
        <w:spacing w:after="40"/>
      </w:pPr>
    </w:p>
    <w:p>
      <w:pPr>
        <w:pStyle w:val="Heading1"/>
      </w:pPr>
      <w:r>
        <w:rPr>
          <w:rFonts w:ascii="TsangerJinKai02" w:hAnsi="TsangerJinKai02" w:eastAsia="TsangerJinKai02"/>
          <w:b/>
          <w:color w:val="1B365D"/>
          <w:sz w:val="36"/>
        </w:rPr>
        <w:t>七、法官调解梯度</w:t>
      </w:r>
    </w:p>
    <w:tbl>
      <w:tblPr>
        <w:tblW w:type="auto" w:w="0"/>
        <w:jc w:val="center"/>
        <w:tblLayout w:type="autofit"/>
        <w:tblLook w:firstColumn="1" w:firstRow="1" w:lastColumn="0" w:lastRow="0" w:noHBand="0" w:noVBand="1" w:val="04A0"/>
      </w:tblPr>
      <w:tblGrid>
        <w:gridCol w:w="2438"/>
        <w:gridCol w:w="2438"/>
        <w:gridCol w:w="2438"/>
        <w:gridCol w:w="2438"/>
      </w:tblGrid>
      <w:tr>
        <w:trPr>
          <w:tblHeader w:val="true"/>
        </w:trPr>
        <w:tc>
          <w:tcPr>
            <w:tcW w:type="dxa" w:w="2438"/>
            <w:tcMar>
              <w:top w:w="90" w:type="dxa"/>
              <w:start w:w="110" w:type="dxa"/>
              <w:bottom w:w="90" w:type="dxa"/>
              <w:end w:w="110" w:type="dxa"/>
            </w:tcMar>
            <w:tcBorders>
              <w:top w:val="single" w:sz="5" w:color="C9C5B8"/>
              <w:start w:val="single" w:sz="5" w:color="C9C5B8"/>
              <w:bottom w:val="single" w:sz="5" w:color="C9C5B8"/>
              <w:end w:val="single" w:sz="5" w:color="C9C5B8"/>
              <w:insideH w:val="single" w:sz="5" w:color="C9C5B8"/>
              <w:insideV w:val="single" w:sz="5" w:color="C9C5B8"/>
            </w:tcBorders>
            <w:vAlign w:val="center"/>
            <w:shd w:fill="1B365D"/>
          </w:tcPr>
          <w:p>
            <w:pPr>
              <w:spacing w:after="0" w:line="288" w:lineRule="auto"/>
            </w:pPr>
            <w:r>
              <w:rPr>
                <w:rFonts w:ascii="Source Han Sans SC" w:hAnsi="Source Han Sans SC" w:eastAsia="Source Han Sans SC"/>
                <w:b/>
                <w:color w:val="FFFFFF"/>
                <w:sz w:val="18"/>
              </w:rPr>
              <w:t>档位</w:t>
            </w:r>
          </w:p>
        </w:tc>
        <w:tc>
          <w:tcPr>
            <w:tcW w:type="dxa" w:w="2438"/>
            <w:tcMar>
              <w:top w:w="90" w:type="dxa"/>
              <w:start w:w="110" w:type="dxa"/>
              <w:bottom w:w="90" w:type="dxa"/>
              <w:end w:w="110" w:type="dxa"/>
            </w:tcMar>
            <w:tcBorders>
              <w:top w:val="single" w:sz="5" w:color="C9C5B8"/>
              <w:start w:val="single" w:sz="5" w:color="C9C5B8"/>
              <w:bottom w:val="single" w:sz="5" w:color="C9C5B8"/>
              <w:end w:val="single" w:sz="5" w:color="C9C5B8"/>
              <w:insideH w:val="single" w:sz="5" w:color="C9C5B8"/>
              <w:insideV w:val="single" w:sz="5" w:color="C9C5B8"/>
            </w:tcBorders>
            <w:vAlign w:val="center"/>
            <w:shd w:fill="1B365D"/>
          </w:tcPr>
          <w:p>
            <w:pPr>
              <w:spacing w:after="0" w:line="288" w:lineRule="auto"/>
            </w:pPr>
            <w:r>
              <w:rPr>
                <w:rFonts w:ascii="Source Han Sans SC" w:hAnsi="Source Han Sans SC" w:eastAsia="Source Han Sans SC"/>
                <w:b/>
                <w:color w:val="FFFFFF"/>
                <w:sz w:val="18"/>
              </w:rPr>
              <w:t>解决内容</w:t>
            </w:r>
          </w:p>
        </w:tc>
        <w:tc>
          <w:tcPr>
            <w:tcW w:type="dxa" w:w="2438"/>
            <w:tcMar>
              <w:top w:w="90" w:type="dxa"/>
              <w:start w:w="110" w:type="dxa"/>
              <w:bottom w:w="90" w:type="dxa"/>
              <w:end w:w="110" w:type="dxa"/>
            </w:tcMar>
            <w:tcBorders>
              <w:top w:val="single" w:sz="5" w:color="C9C5B8"/>
              <w:start w:val="single" w:sz="5" w:color="C9C5B8"/>
              <w:bottom w:val="single" w:sz="5" w:color="C9C5B8"/>
              <w:end w:val="single" w:sz="5" w:color="C9C5B8"/>
              <w:insideH w:val="single" w:sz="5" w:color="C9C5B8"/>
              <w:insideV w:val="single" w:sz="5" w:color="C9C5B8"/>
            </w:tcBorders>
            <w:vAlign w:val="center"/>
            <w:shd w:fill="1B365D"/>
          </w:tcPr>
          <w:p>
            <w:pPr>
              <w:spacing w:after="0" w:line="288" w:lineRule="auto"/>
            </w:pPr>
            <w:r>
              <w:rPr>
                <w:rFonts w:ascii="Source Han Sans SC" w:hAnsi="Source Han Sans SC" w:eastAsia="Source Han Sans SC"/>
                <w:b/>
                <w:color w:val="FFFFFF"/>
                <w:sz w:val="18"/>
              </w:rPr>
              <w:t>法官推进方式</w:t>
            </w:r>
          </w:p>
        </w:tc>
        <w:tc>
          <w:tcPr>
            <w:tcW w:type="dxa" w:w="2438"/>
            <w:tcMar>
              <w:top w:w="90" w:type="dxa"/>
              <w:start w:w="110" w:type="dxa"/>
              <w:bottom w:w="90" w:type="dxa"/>
              <w:end w:w="110" w:type="dxa"/>
            </w:tcMar>
            <w:tcBorders>
              <w:top w:val="single" w:sz="5" w:color="C9C5B8"/>
              <w:start w:val="single" w:sz="5" w:color="C9C5B8"/>
              <w:bottom w:val="single" w:sz="5" w:color="C9C5B8"/>
              <w:end w:val="single" w:sz="5" w:color="C9C5B8"/>
              <w:insideH w:val="single" w:sz="5" w:color="C9C5B8"/>
              <w:insideV w:val="single" w:sz="5" w:color="C9C5B8"/>
            </w:tcBorders>
            <w:vAlign w:val="center"/>
            <w:shd w:fill="1B365D"/>
          </w:tcPr>
          <w:p>
            <w:pPr>
              <w:spacing w:after="0" w:line="288" w:lineRule="auto"/>
            </w:pPr>
            <w:r>
              <w:rPr>
                <w:rFonts w:ascii="Source Han Sans SC" w:hAnsi="Source Han Sans SC" w:eastAsia="Source Han Sans SC"/>
                <w:b/>
                <w:color w:val="FFFFFF"/>
                <w:sz w:val="18"/>
              </w:rPr>
              <w:t>终局性</w:t>
            </w:r>
          </w:p>
        </w:tc>
      </w:tr>
      <w:tr>
        <w:tc>
          <w:tcPr>
            <w:tcW w:type="dxa" w:w="2438"/>
            <w:tcMar>
              <w:top w:w="90" w:type="dxa"/>
              <w:start w:w="110" w:type="dxa"/>
              <w:bottom w:w="90" w:type="dxa"/>
              <w:end w:w="110" w:type="dxa"/>
            </w:tcMar>
            <w:tcBorders>
              <w:top w:val="single" w:sz="5" w:color="C9C5B8"/>
              <w:start w:val="single" w:sz="5" w:color="C9C5B8"/>
              <w:bottom w:val="single" w:sz="5" w:color="C9C5B8"/>
              <w:end w:val="single" w:sz="5" w:color="C9C5B8"/>
              <w:insideH w:val="single" w:sz="5" w:color="C9C5B8"/>
              <w:insideV w:val="single" w:sz="5" w:color="C9C5B8"/>
            </w:tcBorders>
            <w:vAlign w:val="center"/>
            <w:shd w:fill="F5F4ED"/>
          </w:tcPr>
          <w:p>
            <w:pPr>
              <w:spacing w:after="0" w:line="288" w:lineRule="auto"/>
            </w:pPr>
            <w:r>
              <w:rPr>
                <w:rFonts w:ascii="Source Han Sans SC" w:hAnsi="Source Han Sans SC" w:eastAsia="Source Han Sans SC"/>
                <w:b w:val="0"/>
                <w:color w:val="242A30"/>
                <w:sz w:val="18"/>
              </w:rPr>
              <w:t>第一档 最低限度</w:t>
            </w:r>
          </w:p>
        </w:tc>
        <w:tc>
          <w:tcPr>
            <w:tcW w:type="dxa" w:w="2438"/>
            <w:tcMar>
              <w:top w:w="90" w:type="dxa"/>
              <w:start w:w="110" w:type="dxa"/>
              <w:bottom w:w="90" w:type="dxa"/>
              <w:end w:w="110" w:type="dxa"/>
            </w:tcMar>
            <w:tcBorders>
              <w:top w:val="single" w:sz="5" w:color="C9C5B8"/>
              <w:start w:val="single" w:sz="5" w:color="C9C5B8"/>
              <w:bottom w:val="single" w:sz="5" w:color="C9C5B8"/>
              <w:end w:val="single" w:sz="5" w:color="C9C5B8"/>
              <w:insideH w:val="single" w:sz="5" w:color="C9C5B8"/>
              <w:insideV w:val="single" w:sz="5" w:color="C9C5B8"/>
            </w:tcBorders>
            <w:vAlign w:val="center"/>
            <w:shd w:fill="F5F4ED"/>
          </w:tcPr>
          <w:p>
            <w:pPr>
              <w:spacing w:after="0" w:line="288" w:lineRule="auto"/>
            </w:pPr>
            <w:r>
              <w:rPr>
                <w:rFonts w:ascii="Source Han Sans SC" w:hAnsi="Source Han Sans SC" w:eastAsia="Source Han Sans SC"/>
                <w:b w:val="0"/>
                <w:color w:val="242A30"/>
                <w:sz w:val="18"/>
              </w:rPr>
              <w:t>垃圾、下水道、围挡、钻孔</w:t>
            </w:r>
          </w:p>
        </w:tc>
        <w:tc>
          <w:tcPr>
            <w:tcW w:type="dxa" w:w="2438"/>
            <w:tcMar>
              <w:top w:w="90" w:type="dxa"/>
              <w:start w:w="110" w:type="dxa"/>
              <w:bottom w:w="90" w:type="dxa"/>
              <w:end w:w="110" w:type="dxa"/>
            </w:tcMar>
            <w:tcBorders>
              <w:top w:val="single" w:sz="5" w:color="C9C5B8"/>
              <w:start w:val="single" w:sz="5" w:color="C9C5B8"/>
              <w:bottom w:val="single" w:sz="5" w:color="C9C5B8"/>
              <w:end w:val="single" w:sz="5" w:color="C9C5B8"/>
              <w:insideH w:val="single" w:sz="5" w:color="C9C5B8"/>
              <w:insideV w:val="single" w:sz="5" w:color="C9C5B8"/>
            </w:tcBorders>
            <w:vAlign w:val="center"/>
            <w:shd w:fill="F5F4ED"/>
          </w:tcPr>
          <w:p>
            <w:pPr>
              <w:spacing w:after="0" w:line="288" w:lineRule="auto"/>
            </w:pPr>
            <w:r>
              <w:rPr>
                <w:rFonts w:ascii="Source Han Sans SC" w:hAnsi="Source Han Sans SC" w:eastAsia="Source Han Sans SC"/>
                <w:b w:val="0"/>
                <w:color w:val="242A30"/>
                <w:sz w:val="18"/>
              </w:rPr>
              <w:t>现场勘验后锁定点位和短期限，最先测试各方诚意</w:t>
            </w:r>
          </w:p>
        </w:tc>
        <w:tc>
          <w:tcPr>
            <w:tcW w:type="dxa" w:w="2438"/>
            <w:tcMar>
              <w:top w:w="90" w:type="dxa"/>
              <w:start w:w="110" w:type="dxa"/>
              <w:bottom w:w="90" w:type="dxa"/>
              <w:end w:w="110" w:type="dxa"/>
            </w:tcMar>
            <w:tcBorders>
              <w:top w:val="single" w:sz="5" w:color="C9C5B8"/>
              <w:start w:val="single" w:sz="5" w:color="C9C5B8"/>
              <w:bottom w:val="single" w:sz="5" w:color="C9C5B8"/>
              <w:end w:val="single" w:sz="5" w:color="C9C5B8"/>
              <w:insideH w:val="single" w:sz="5" w:color="C9C5B8"/>
              <w:insideV w:val="single" w:sz="5" w:color="C9C5B8"/>
            </w:tcBorders>
            <w:vAlign w:val="center"/>
            <w:shd w:fill="F5F4ED"/>
          </w:tcPr>
          <w:p>
            <w:pPr>
              <w:spacing w:after="0" w:line="288" w:lineRule="auto"/>
            </w:pPr>
            <w:r>
              <w:rPr>
                <w:rFonts w:ascii="Source Han Sans SC" w:hAnsi="Source Han Sans SC" w:eastAsia="Source Han Sans SC"/>
                <w:b w:val="0"/>
                <w:color w:val="242A30"/>
                <w:sz w:val="18"/>
              </w:rPr>
              <w:t>中低</w:t>
            </w:r>
          </w:p>
        </w:tc>
      </w:tr>
      <w:tr>
        <w:tc>
          <w:tcPr>
            <w:tcW w:type="dxa" w:w="2438"/>
            <w:tcMar>
              <w:top w:w="90" w:type="dxa"/>
              <w:start w:w="110" w:type="dxa"/>
              <w:bottom w:w="90" w:type="dxa"/>
              <w:end w:w="110" w:type="dxa"/>
            </w:tcMar>
            <w:tcBorders>
              <w:top w:val="single" w:sz="5" w:color="C9C5B8"/>
              <w:start w:val="single" w:sz="5" w:color="C9C5B8"/>
              <w:bottom w:val="single" w:sz="5" w:color="C9C5B8"/>
              <w:end w:val="single" w:sz="5" w:color="C9C5B8"/>
              <w:insideH w:val="single" w:sz="5" w:color="C9C5B8"/>
              <w:insideV w:val="single" w:sz="5" w:color="C9C5B8"/>
            </w:tcBorders>
            <w:vAlign w:val="center"/>
            <w:shd w:fill="FFFFFF"/>
          </w:tcPr>
          <w:p>
            <w:pPr>
              <w:spacing w:after="0" w:line="288" w:lineRule="auto"/>
            </w:pPr>
            <w:r>
              <w:rPr>
                <w:rFonts w:ascii="Source Han Sans SC" w:hAnsi="Source Han Sans SC" w:eastAsia="Source Han Sans SC"/>
                <w:b w:val="0"/>
                <w:color w:val="242A30"/>
                <w:sz w:val="18"/>
              </w:rPr>
              <w:t>第二档 实质恢复</w:t>
            </w:r>
          </w:p>
        </w:tc>
        <w:tc>
          <w:tcPr>
            <w:tcW w:type="dxa" w:w="2438"/>
            <w:tcMar>
              <w:top w:w="90" w:type="dxa"/>
              <w:start w:w="110" w:type="dxa"/>
              <w:bottom w:w="90" w:type="dxa"/>
              <w:end w:w="110" w:type="dxa"/>
            </w:tcMar>
            <w:tcBorders>
              <w:top w:val="single" w:sz="5" w:color="C9C5B8"/>
              <w:start w:val="single" w:sz="5" w:color="C9C5B8"/>
              <w:bottom w:val="single" w:sz="5" w:color="C9C5B8"/>
              <w:end w:val="single" w:sz="5" w:color="C9C5B8"/>
              <w:insideH w:val="single" w:sz="5" w:color="C9C5B8"/>
              <w:insideV w:val="single" w:sz="5" w:color="C9C5B8"/>
            </w:tcBorders>
            <w:vAlign w:val="center"/>
            <w:shd w:fill="FFFFFF"/>
          </w:tcPr>
          <w:p>
            <w:pPr>
              <w:spacing w:after="0" w:line="288" w:lineRule="auto"/>
            </w:pPr>
            <w:r>
              <w:rPr>
                <w:rFonts w:ascii="Source Han Sans SC" w:hAnsi="Source Han Sans SC" w:eastAsia="Source Han Sans SC"/>
                <w:b w:val="0"/>
                <w:color w:val="242A30"/>
                <w:sz w:val="18"/>
              </w:rPr>
              <w:t>增加修缮、加固、复鉴、安全使用</w:t>
            </w:r>
          </w:p>
        </w:tc>
        <w:tc>
          <w:tcPr>
            <w:tcW w:type="dxa" w:w="2438"/>
            <w:tcMar>
              <w:top w:w="90" w:type="dxa"/>
              <w:start w:w="110" w:type="dxa"/>
              <w:bottom w:w="90" w:type="dxa"/>
              <w:end w:w="110" w:type="dxa"/>
            </w:tcMar>
            <w:tcBorders>
              <w:top w:val="single" w:sz="5" w:color="C9C5B8"/>
              <w:start w:val="single" w:sz="5" w:color="C9C5B8"/>
              <w:bottom w:val="single" w:sz="5" w:color="C9C5B8"/>
              <w:end w:val="single" w:sz="5" w:color="C9C5B8"/>
              <w:insideH w:val="single" w:sz="5" w:color="C9C5B8"/>
              <w:insideV w:val="single" w:sz="5" w:color="C9C5B8"/>
            </w:tcBorders>
            <w:vAlign w:val="center"/>
            <w:shd w:fill="FFFFFF"/>
          </w:tcPr>
          <w:p>
            <w:pPr>
              <w:spacing w:after="0" w:line="288" w:lineRule="auto"/>
            </w:pPr>
            <w:r>
              <w:rPr>
                <w:rFonts w:ascii="Source Han Sans SC" w:hAnsi="Source Han Sans SC" w:eastAsia="Source Han Sans SC"/>
                <w:b w:val="0"/>
                <w:color w:val="242A30"/>
                <w:sz w:val="18"/>
              </w:rPr>
              <w:t>拉入有工程能力主体，用报告和项目清单控制争议</w:t>
            </w:r>
          </w:p>
        </w:tc>
        <w:tc>
          <w:tcPr>
            <w:tcW w:type="dxa" w:w="2438"/>
            <w:tcMar>
              <w:top w:w="90" w:type="dxa"/>
              <w:start w:w="110" w:type="dxa"/>
              <w:bottom w:w="90" w:type="dxa"/>
              <w:end w:w="110" w:type="dxa"/>
            </w:tcMar>
            <w:tcBorders>
              <w:top w:val="single" w:sz="5" w:color="C9C5B8"/>
              <w:start w:val="single" w:sz="5" w:color="C9C5B8"/>
              <w:bottom w:val="single" w:sz="5" w:color="C9C5B8"/>
              <w:end w:val="single" w:sz="5" w:color="C9C5B8"/>
              <w:insideH w:val="single" w:sz="5" w:color="C9C5B8"/>
              <w:insideV w:val="single" w:sz="5" w:color="C9C5B8"/>
            </w:tcBorders>
            <w:vAlign w:val="center"/>
            <w:shd w:fill="FFFFFF"/>
          </w:tcPr>
          <w:p>
            <w:pPr>
              <w:spacing w:after="0" w:line="288" w:lineRule="auto"/>
            </w:pPr>
            <w:r>
              <w:rPr>
                <w:rFonts w:ascii="Source Han Sans SC" w:hAnsi="Source Han Sans SC" w:eastAsia="Source Han Sans SC"/>
                <w:b w:val="0"/>
                <w:color w:val="242A30"/>
                <w:sz w:val="18"/>
              </w:rPr>
              <w:t>高</w:t>
            </w:r>
          </w:p>
        </w:tc>
      </w:tr>
      <w:tr>
        <w:tc>
          <w:tcPr>
            <w:tcW w:type="dxa" w:w="2438"/>
            <w:tcMar>
              <w:top w:w="90" w:type="dxa"/>
              <w:start w:w="110" w:type="dxa"/>
              <w:bottom w:w="90" w:type="dxa"/>
              <w:end w:w="110" w:type="dxa"/>
            </w:tcMar>
            <w:tcBorders>
              <w:top w:val="single" w:sz="5" w:color="C9C5B8"/>
              <w:start w:val="single" w:sz="5" w:color="C9C5B8"/>
              <w:bottom w:val="single" w:sz="5" w:color="C9C5B8"/>
              <w:end w:val="single" w:sz="5" w:color="C9C5B8"/>
              <w:insideH w:val="single" w:sz="5" w:color="C9C5B8"/>
              <w:insideV w:val="single" w:sz="5" w:color="C9C5B8"/>
            </w:tcBorders>
            <w:vAlign w:val="center"/>
            <w:shd w:fill="F5F4ED"/>
          </w:tcPr>
          <w:p>
            <w:pPr>
              <w:spacing w:after="0" w:line="288" w:lineRule="auto"/>
            </w:pPr>
            <w:r>
              <w:rPr>
                <w:rFonts w:ascii="Source Han Sans SC" w:hAnsi="Source Han Sans SC" w:eastAsia="Source Han Sans SC"/>
                <w:b w:val="0"/>
                <w:color w:val="242A30"/>
                <w:sz w:val="18"/>
              </w:rPr>
              <w:t>第三档 城市更新</w:t>
            </w:r>
          </w:p>
        </w:tc>
        <w:tc>
          <w:tcPr>
            <w:tcW w:type="dxa" w:w="2438"/>
            <w:tcMar>
              <w:top w:w="90" w:type="dxa"/>
              <w:start w:w="110" w:type="dxa"/>
              <w:bottom w:w="90" w:type="dxa"/>
              <w:end w:w="110" w:type="dxa"/>
            </w:tcMar>
            <w:tcBorders>
              <w:top w:val="single" w:sz="5" w:color="C9C5B8"/>
              <w:start w:val="single" w:sz="5" w:color="C9C5B8"/>
              <w:bottom w:val="single" w:sz="5" w:color="C9C5B8"/>
              <w:end w:val="single" w:sz="5" w:color="C9C5B8"/>
              <w:insideH w:val="single" w:sz="5" w:color="C9C5B8"/>
              <w:insideV w:val="single" w:sz="5" w:color="C9C5B8"/>
            </w:tcBorders>
            <w:vAlign w:val="center"/>
            <w:shd w:fill="F5F4ED"/>
          </w:tcPr>
          <w:p>
            <w:pPr>
              <w:spacing w:after="0" w:line="288" w:lineRule="auto"/>
            </w:pPr>
            <w:r>
              <w:rPr>
                <w:rFonts w:ascii="Source Han Sans SC" w:hAnsi="Source Han Sans SC" w:eastAsia="Source Han Sans SC"/>
                <w:b w:val="0"/>
                <w:color w:val="242A30"/>
                <w:sz w:val="18"/>
              </w:rPr>
              <w:t>增加一屋一策、项目实施方案、报批节点</w:t>
            </w:r>
          </w:p>
        </w:tc>
        <w:tc>
          <w:tcPr>
            <w:tcW w:type="dxa" w:w="2438"/>
            <w:tcMar>
              <w:top w:w="90" w:type="dxa"/>
              <w:start w:w="110" w:type="dxa"/>
              <w:bottom w:w="90" w:type="dxa"/>
              <w:end w:w="110" w:type="dxa"/>
            </w:tcMar>
            <w:tcBorders>
              <w:top w:val="single" w:sz="5" w:color="C9C5B8"/>
              <w:start w:val="single" w:sz="5" w:color="C9C5B8"/>
              <w:bottom w:val="single" w:sz="5" w:color="C9C5B8"/>
              <w:end w:val="single" w:sz="5" w:color="C9C5B8"/>
              <w:insideH w:val="single" w:sz="5" w:color="C9C5B8"/>
              <w:insideV w:val="single" w:sz="5" w:color="C9C5B8"/>
            </w:tcBorders>
            <w:vAlign w:val="center"/>
            <w:shd w:fill="F5F4ED"/>
          </w:tcPr>
          <w:p>
            <w:pPr>
              <w:spacing w:after="0" w:line="288" w:lineRule="auto"/>
            </w:pPr>
            <w:r>
              <w:rPr>
                <w:rFonts w:ascii="Source Han Sans SC" w:hAnsi="Source Han Sans SC" w:eastAsia="Source Han Sans SC"/>
                <w:b w:val="0"/>
                <w:color w:val="242A30"/>
                <w:sz w:val="18"/>
              </w:rPr>
              <w:t>邀请属地街道和实际实施主体协调，但不强迫行政审批</w:t>
            </w:r>
          </w:p>
        </w:tc>
        <w:tc>
          <w:tcPr>
            <w:tcW w:type="dxa" w:w="2438"/>
            <w:tcMar>
              <w:top w:w="90" w:type="dxa"/>
              <w:start w:w="110" w:type="dxa"/>
              <w:bottom w:w="90" w:type="dxa"/>
              <w:end w:w="110" w:type="dxa"/>
            </w:tcMar>
            <w:tcBorders>
              <w:top w:val="single" w:sz="5" w:color="C9C5B8"/>
              <w:start w:val="single" w:sz="5" w:color="C9C5B8"/>
              <w:bottom w:val="single" w:sz="5" w:color="C9C5B8"/>
              <w:end w:val="single" w:sz="5" w:color="C9C5B8"/>
              <w:insideH w:val="single" w:sz="5" w:color="C9C5B8"/>
              <w:insideV w:val="single" w:sz="5" w:color="C9C5B8"/>
            </w:tcBorders>
            <w:vAlign w:val="center"/>
            <w:shd w:fill="F5F4ED"/>
          </w:tcPr>
          <w:p>
            <w:pPr>
              <w:spacing w:after="0" w:line="288" w:lineRule="auto"/>
            </w:pPr>
            <w:r>
              <w:rPr>
                <w:rFonts w:ascii="Source Han Sans SC" w:hAnsi="Source Han Sans SC" w:eastAsia="Source Han Sans SC"/>
                <w:b w:val="0"/>
                <w:color w:val="242A30"/>
                <w:sz w:val="18"/>
              </w:rPr>
              <w:t>较高</w:t>
            </w:r>
          </w:p>
        </w:tc>
      </w:tr>
      <w:tr>
        <w:tc>
          <w:tcPr>
            <w:tcW w:type="dxa" w:w="2438"/>
            <w:tcMar>
              <w:top w:w="90" w:type="dxa"/>
              <w:start w:w="110" w:type="dxa"/>
              <w:bottom w:w="90" w:type="dxa"/>
              <w:end w:w="110" w:type="dxa"/>
            </w:tcMar>
            <w:tcBorders>
              <w:top w:val="single" w:sz="5" w:color="C9C5B8"/>
              <w:start w:val="single" w:sz="5" w:color="C9C5B8"/>
              <w:bottom w:val="single" w:sz="5" w:color="C9C5B8"/>
              <w:end w:val="single" w:sz="5" w:color="C9C5B8"/>
              <w:insideH w:val="single" w:sz="5" w:color="C9C5B8"/>
              <w:insideV w:val="single" w:sz="5" w:color="C9C5B8"/>
            </w:tcBorders>
            <w:vAlign w:val="center"/>
            <w:shd w:fill="FFFFFF"/>
          </w:tcPr>
          <w:p>
            <w:pPr>
              <w:spacing w:after="0" w:line="288" w:lineRule="auto"/>
            </w:pPr>
            <w:r>
              <w:rPr>
                <w:rFonts w:ascii="Source Han Sans SC" w:hAnsi="Source Han Sans SC" w:eastAsia="Source Han Sans SC"/>
                <w:b w:val="0"/>
                <w:color w:val="242A30"/>
                <w:sz w:val="18"/>
              </w:rPr>
              <w:t>第四档 原拆原建</w:t>
            </w:r>
          </w:p>
        </w:tc>
        <w:tc>
          <w:tcPr>
            <w:tcW w:type="dxa" w:w="2438"/>
            <w:tcMar>
              <w:top w:w="90" w:type="dxa"/>
              <w:start w:w="110" w:type="dxa"/>
              <w:bottom w:w="90" w:type="dxa"/>
              <w:end w:w="110" w:type="dxa"/>
            </w:tcMar>
            <w:tcBorders>
              <w:top w:val="single" w:sz="5" w:color="C9C5B8"/>
              <w:start w:val="single" w:sz="5" w:color="C9C5B8"/>
              <w:bottom w:val="single" w:sz="5" w:color="C9C5B8"/>
              <w:end w:val="single" w:sz="5" w:color="C9C5B8"/>
              <w:insideH w:val="single" w:sz="5" w:color="C9C5B8"/>
              <w:insideV w:val="single" w:sz="5" w:color="C9C5B8"/>
            </w:tcBorders>
            <w:vAlign w:val="center"/>
            <w:shd w:fill="FFFFFF"/>
          </w:tcPr>
          <w:p>
            <w:pPr>
              <w:spacing w:after="0" w:line="288" w:lineRule="auto"/>
            </w:pPr>
            <w:r>
              <w:rPr>
                <w:rFonts w:ascii="Source Han Sans SC" w:hAnsi="Source Han Sans SC" w:eastAsia="Source Han Sans SC"/>
                <w:b w:val="0"/>
                <w:color w:val="242A30"/>
                <w:sz w:val="18"/>
              </w:rPr>
              <w:t>技术经济论证、产权人决策、审批、过渡和登记</w:t>
            </w:r>
          </w:p>
        </w:tc>
        <w:tc>
          <w:tcPr>
            <w:tcW w:type="dxa" w:w="2438"/>
            <w:tcMar>
              <w:top w:w="90" w:type="dxa"/>
              <w:start w:w="110" w:type="dxa"/>
              <w:bottom w:w="90" w:type="dxa"/>
              <w:end w:w="110" w:type="dxa"/>
            </w:tcMar>
            <w:tcBorders>
              <w:top w:val="single" w:sz="5" w:color="C9C5B8"/>
              <w:start w:val="single" w:sz="5" w:color="C9C5B8"/>
              <w:bottom w:val="single" w:sz="5" w:color="C9C5B8"/>
              <w:end w:val="single" w:sz="5" w:color="C9C5B8"/>
              <w:insideH w:val="single" w:sz="5" w:color="C9C5B8"/>
              <w:insideV w:val="single" w:sz="5" w:color="C9C5B8"/>
            </w:tcBorders>
            <w:vAlign w:val="center"/>
            <w:shd w:fill="FFFFFF"/>
          </w:tcPr>
          <w:p>
            <w:pPr>
              <w:spacing w:after="0" w:line="288" w:lineRule="auto"/>
            </w:pPr>
            <w:r>
              <w:rPr>
                <w:rFonts w:ascii="Source Han Sans SC" w:hAnsi="Source Han Sans SC" w:eastAsia="Source Han Sans SC"/>
                <w:b w:val="0"/>
                <w:color w:val="242A30"/>
                <w:sz w:val="18"/>
              </w:rPr>
              <w:t>仅在修缮不合理且条件成熟时进入</w:t>
            </w:r>
          </w:p>
        </w:tc>
        <w:tc>
          <w:tcPr>
            <w:tcW w:type="dxa" w:w="2438"/>
            <w:tcMar>
              <w:top w:w="90" w:type="dxa"/>
              <w:start w:w="110" w:type="dxa"/>
              <w:bottom w:w="90" w:type="dxa"/>
              <w:end w:w="110" w:type="dxa"/>
            </w:tcMar>
            <w:tcBorders>
              <w:top w:val="single" w:sz="5" w:color="C9C5B8"/>
              <w:start w:val="single" w:sz="5" w:color="C9C5B8"/>
              <w:bottom w:val="single" w:sz="5" w:color="C9C5B8"/>
              <w:end w:val="single" w:sz="5" w:color="C9C5B8"/>
              <w:insideH w:val="single" w:sz="5" w:color="C9C5B8"/>
              <w:insideV w:val="single" w:sz="5" w:color="C9C5B8"/>
            </w:tcBorders>
            <w:vAlign w:val="center"/>
            <w:shd w:fill="FFFFFF"/>
          </w:tcPr>
          <w:p>
            <w:pPr>
              <w:spacing w:after="0" w:line="288" w:lineRule="auto"/>
            </w:pPr>
            <w:r>
              <w:rPr>
                <w:rFonts w:ascii="Source Han Sans SC" w:hAnsi="Source Han Sans SC" w:eastAsia="Source Han Sans SC"/>
                <w:b w:val="0"/>
                <w:color w:val="242A30"/>
                <w:sz w:val="18"/>
              </w:rPr>
              <w:t>条件成熟则高，达成率低</w:t>
            </w:r>
          </w:p>
        </w:tc>
      </w:tr>
      <w:tr>
        <w:tc>
          <w:tcPr>
            <w:tcW w:type="dxa" w:w="2438"/>
            <w:tcMar>
              <w:top w:w="90" w:type="dxa"/>
              <w:start w:w="110" w:type="dxa"/>
              <w:bottom w:w="90" w:type="dxa"/>
              <w:end w:w="110" w:type="dxa"/>
            </w:tcMar>
            <w:tcBorders>
              <w:top w:val="single" w:sz="5" w:color="C9C5B8"/>
              <w:start w:val="single" w:sz="5" w:color="C9C5B8"/>
              <w:bottom w:val="single" w:sz="5" w:color="C9C5B8"/>
              <w:end w:val="single" w:sz="5" w:color="C9C5B8"/>
              <w:insideH w:val="single" w:sz="5" w:color="C9C5B8"/>
              <w:insideV w:val="single" w:sz="5" w:color="C9C5B8"/>
            </w:tcBorders>
            <w:vAlign w:val="center"/>
            <w:shd w:fill="F5F4ED"/>
          </w:tcPr>
          <w:p>
            <w:pPr>
              <w:spacing w:after="0" w:line="288" w:lineRule="auto"/>
            </w:pPr>
            <w:r>
              <w:rPr>
                <w:rFonts w:ascii="Source Han Sans SC" w:hAnsi="Source Han Sans SC" w:eastAsia="Source Han Sans SC"/>
                <w:b w:val="0"/>
                <w:color w:val="242A30"/>
                <w:sz w:val="18"/>
              </w:rPr>
              <w:t>第五档 产权彻底解决</w:t>
            </w:r>
          </w:p>
        </w:tc>
        <w:tc>
          <w:tcPr>
            <w:tcW w:type="dxa" w:w="2438"/>
            <w:tcMar>
              <w:top w:w="90" w:type="dxa"/>
              <w:start w:w="110" w:type="dxa"/>
              <w:bottom w:w="90" w:type="dxa"/>
              <w:end w:w="110" w:type="dxa"/>
            </w:tcMar>
            <w:tcBorders>
              <w:top w:val="single" w:sz="5" w:color="C9C5B8"/>
              <w:start w:val="single" w:sz="5" w:color="C9C5B8"/>
              <w:bottom w:val="single" w:sz="5" w:color="C9C5B8"/>
              <w:end w:val="single" w:sz="5" w:color="C9C5B8"/>
              <w:insideH w:val="single" w:sz="5" w:color="C9C5B8"/>
              <w:insideV w:val="single" w:sz="5" w:color="C9C5B8"/>
            </w:tcBorders>
            <w:vAlign w:val="center"/>
            <w:shd w:fill="F5F4ED"/>
          </w:tcPr>
          <w:p>
            <w:pPr>
              <w:spacing w:after="0" w:line="288" w:lineRule="auto"/>
            </w:pPr>
            <w:r>
              <w:rPr>
                <w:rFonts w:ascii="Source Han Sans SC" w:hAnsi="Source Han Sans SC" w:eastAsia="Source Han Sans SC"/>
                <w:b w:val="0"/>
                <w:color w:val="242A30"/>
                <w:sz w:val="18"/>
              </w:rPr>
              <w:t>收购、置换、整体和解</w:t>
            </w:r>
          </w:p>
        </w:tc>
        <w:tc>
          <w:tcPr>
            <w:tcW w:type="dxa" w:w="2438"/>
            <w:tcMar>
              <w:top w:w="90" w:type="dxa"/>
              <w:start w:w="110" w:type="dxa"/>
              <w:bottom w:w="90" w:type="dxa"/>
              <w:end w:w="110" w:type="dxa"/>
            </w:tcMar>
            <w:tcBorders>
              <w:top w:val="single" w:sz="5" w:color="C9C5B8"/>
              <w:start w:val="single" w:sz="5" w:color="C9C5B8"/>
              <w:bottom w:val="single" w:sz="5" w:color="C9C5B8"/>
              <w:end w:val="single" w:sz="5" w:color="C9C5B8"/>
              <w:insideH w:val="single" w:sz="5" w:color="C9C5B8"/>
              <w:insideV w:val="single" w:sz="5" w:color="C9C5B8"/>
            </w:tcBorders>
            <w:vAlign w:val="center"/>
            <w:shd w:fill="F5F4ED"/>
          </w:tcPr>
          <w:p>
            <w:pPr>
              <w:spacing w:after="0" w:line="288" w:lineRule="auto"/>
            </w:pPr>
            <w:r>
              <w:rPr>
                <w:rFonts w:ascii="Source Han Sans SC" w:hAnsi="Source Han Sans SC" w:eastAsia="Source Han Sans SC"/>
                <w:b w:val="0"/>
                <w:color w:val="242A30"/>
                <w:sz w:val="18"/>
              </w:rPr>
              <w:t>询问双方真实价格区间和授权，采用评估、资金监管</w:t>
            </w:r>
          </w:p>
        </w:tc>
        <w:tc>
          <w:tcPr>
            <w:tcW w:type="dxa" w:w="2438"/>
            <w:tcMar>
              <w:top w:w="90" w:type="dxa"/>
              <w:start w:w="110" w:type="dxa"/>
              <w:bottom w:w="90" w:type="dxa"/>
              <w:end w:w="110" w:type="dxa"/>
            </w:tcMar>
            <w:tcBorders>
              <w:top w:val="single" w:sz="5" w:color="C9C5B8"/>
              <w:start w:val="single" w:sz="5" w:color="C9C5B8"/>
              <w:bottom w:val="single" w:sz="5" w:color="C9C5B8"/>
              <w:end w:val="single" w:sz="5" w:color="C9C5B8"/>
              <w:insideH w:val="single" w:sz="5" w:color="C9C5B8"/>
              <w:insideV w:val="single" w:sz="5" w:color="C9C5B8"/>
            </w:tcBorders>
            <w:vAlign w:val="center"/>
            <w:shd w:fill="F5F4ED"/>
          </w:tcPr>
          <w:p>
            <w:pPr>
              <w:spacing w:after="0" w:line="288" w:lineRule="auto"/>
            </w:pPr>
            <w:r>
              <w:rPr>
                <w:rFonts w:ascii="Source Han Sans SC" w:hAnsi="Source Han Sans SC" w:eastAsia="Source Han Sans SC"/>
                <w:b w:val="0"/>
                <w:color w:val="242A30"/>
                <w:sz w:val="18"/>
              </w:rPr>
              <w:t>最高</w:t>
            </w:r>
          </w:p>
        </w:tc>
      </w:tr>
    </w:tbl>
    <w:p>
      <w:pPr>
        <w:spacing w:after="40"/>
      </w:pPr>
    </w:p>
    <w:p>
      <w:r>
        <w:rPr>
          <w:rFonts w:ascii="Source Han Serif SC" w:hAnsi="Source Han Serif SC" w:eastAsia="Source Han Serif SC"/>
          <w:b w:val="0"/>
          <w:color w:val="242A30"/>
          <w:sz w:val="21"/>
        </w:rPr>
        <w:t>法官最可能从第一档开始，因为事实具体、成本可控、容易判断诚意；随后迅速推进第二档，因为单做第一档不能回答C/Csu后如何治理。真正解决纠纷的通常是“第二档＋第三档”的工程闭环，或者第五档的产权退出。第四档看似彻底，却因审批和产权协同最难落地。</w:t>
      </w:r>
    </w:p>
    <w:p>
      <w:pPr>
        <w:pStyle w:val="Heading1"/>
      </w:pPr>
      <w:r>
        <w:rPr>
          <w:rFonts w:ascii="TsangerJinKai02" w:hAnsi="TsangerJinKai02" w:eastAsia="TsangerJinKai02"/>
          <w:b/>
          <w:color w:val="1B365D"/>
          <w:sz w:val="36"/>
        </w:rPr>
        <w:t>八、防止“只承诺不履行”的十项硬条款</w:t>
      </w:r>
    </w:p>
    <w:p>
      <w:pPr>
        <w:pStyle w:val="ListNumber"/>
        <w:spacing w:after="60"/>
        <w:ind w:left="397" w:hanging="198"/>
      </w:pPr>
      <w:r>
        <w:rPr>
          <w:rFonts w:ascii="Source Han Serif SC" w:hAnsi="Source Han Serif SC" w:eastAsia="Source Han Serif SC"/>
          <w:b/>
          <w:color w:val="1B365D"/>
          <w:sz w:val="21"/>
        </w:rPr>
        <w:t>履行主体</w:t>
      </w:r>
      <w:r>
        <w:rPr>
          <w:rFonts w:ascii="Source Han Serif SC" w:hAnsi="Source Han Serif SC" w:eastAsia="Source Han Serif SC"/>
          <w:b w:val="0"/>
          <w:color w:val="242A30"/>
          <w:sz w:val="21"/>
        </w:rPr>
        <w:t>：使用工商全称、统一社会信用代码、法定代表人；项目公司、实施主体、施工方分别签字。不得写“相关单位”。</w:t>
      </w:r>
    </w:p>
    <w:p>
      <w:pPr>
        <w:pStyle w:val="ListNumber"/>
        <w:spacing w:after="60"/>
        <w:ind w:left="397" w:hanging="198"/>
      </w:pPr>
      <w:r>
        <w:rPr>
          <w:rFonts w:ascii="Source Han Serif SC" w:hAnsi="Source Han Serif SC" w:eastAsia="Source Han Serif SC"/>
          <w:b/>
          <w:color w:val="1B365D"/>
          <w:sz w:val="21"/>
        </w:rPr>
        <w:t>具体内容</w:t>
      </w:r>
      <w:r>
        <w:rPr>
          <w:rFonts w:ascii="Source Han Serif SC" w:hAnsi="Source Han Serif SC" w:eastAsia="Source Han Serif SC"/>
          <w:b w:val="0"/>
          <w:color w:val="242A30"/>
          <w:sz w:val="21"/>
        </w:rPr>
        <w:t>：所有点位、工程量、图纸、材料、功能标准作为调解书附件；不得写“妥善修复”。</w:t>
      </w:r>
    </w:p>
    <w:p>
      <w:pPr>
        <w:pStyle w:val="ListNumber"/>
        <w:spacing w:after="60"/>
        <w:ind w:left="397" w:hanging="198"/>
      </w:pPr>
      <w:r>
        <w:rPr>
          <w:rFonts w:ascii="Source Han Serif SC" w:hAnsi="Source Han Serif SC" w:eastAsia="Source Han Serif SC"/>
          <w:b/>
          <w:color w:val="1B365D"/>
          <w:sz w:val="21"/>
        </w:rPr>
        <w:t>时间节点</w:t>
      </w:r>
      <w:r>
        <w:rPr>
          <w:rFonts w:ascii="Source Han Serif SC" w:hAnsi="Source Han Serif SC" w:eastAsia="Source Han Serif SC"/>
          <w:b w:val="0"/>
          <w:color w:val="242A30"/>
          <w:sz w:val="21"/>
        </w:rPr>
        <w:t>：资料提交、方案、报审、开工、验收、复鉴、交付分别定日；不得只写“尽快”。</w:t>
      </w:r>
    </w:p>
    <w:p>
      <w:pPr>
        <w:pStyle w:val="ListNumber"/>
        <w:spacing w:after="60"/>
        <w:ind w:left="397" w:hanging="198"/>
      </w:pPr>
      <w:r>
        <w:rPr>
          <w:rFonts w:ascii="Source Han Serif SC" w:hAnsi="Source Han Serif SC" w:eastAsia="Source Han Serif SC"/>
          <w:b/>
          <w:color w:val="1B365D"/>
          <w:sz w:val="21"/>
        </w:rPr>
        <w:t>验收标准</w:t>
      </w:r>
      <w:r>
        <w:rPr>
          <w:rFonts w:ascii="Source Han Serif SC" w:hAnsi="Source Han Serif SC" w:eastAsia="Source Han Serif SC"/>
          <w:b w:val="0"/>
          <w:color w:val="242A30"/>
          <w:sz w:val="21"/>
        </w:rPr>
        <w:t>：客观试验、现行规范、第三方复鉴、隐蔽工程影像和验收表并用；不得只写“原告满意”。</w:t>
      </w:r>
    </w:p>
    <w:p>
      <w:pPr>
        <w:pStyle w:val="ListNumber"/>
        <w:spacing w:after="60"/>
        <w:ind w:left="397" w:hanging="198"/>
      </w:pPr>
      <w:r>
        <w:rPr>
          <w:rFonts w:ascii="Source Han Serif SC" w:hAnsi="Source Han Serif SC" w:eastAsia="Source Han Serif SC"/>
          <w:b/>
          <w:color w:val="1B365D"/>
          <w:sz w:val="21"/>
        </w:rPr>
        <w:t>费用承担</w:t>
      </w:r>
      <w:r>
        <w:rPr>
          <w:rFonts w:ascii="Source Han Serif SC" w:hAnsi="Source Han Serif SC" w:eastAsia="Source Han Serif SC"/>
          <w:b w:val="0"/>
          <w:color w:val="242A30"/>
          <w:sz w:val="21"/>
        </w:rPr>
        <w:t>：设计、施工、鉴定、监理、审批、清运、安置和税费分别列明；约定超预算授权。</w:t>
      </w:r>
    </w:p>
    <w:p>
      <w:pPr>
        <w:pStyle w:val="ListNumber"/>
        <w:spacing w:after="60"/>
        <w:ind w:left="397" w:hanging="198"/>
      </w:pPr>
      <w:r>
        <w:rPr>
          <w:rFonts w:ascii="Source Han Serif SC" w:hAnsi="Source Han Serif SC" w:eastAsia="Source Han Serif SC"/>
          <w:b/>
          <w:color w:val="1B365D"/>
          <w:sz w:val="21"/>
        </w:rPr>
        <w:t>鉴定机构</w:t>
      </w:r>
      <w:r>
        <w:rPr>
          <w:rFonts w:ascii="Source Han Serif SC" w:hAnsi="Source Han Serif SC" w:eastAsia="Source Han Serif SC"/>
          <w:b w:val="0"/>
          <w:color w:val="242A30"/>
          <w:sz w:val="21"/>
        </w:rPr>
        <w:t>：共同选择期限、选不定时的摇号机制、回避、费用垫付和补充鉴定规则。</w:t>
      </w:r>
    </w:p>
    <w:p>
      <w:pPr>
        <w:pStyle w:val="ListNumber"/>
        <w:spacing w:after="60"/>
        <w:ind w:left="397" w:hanging="198"/>
      </w:pPr>
      <w:r>
        <w:rPr>
          <w:rFonts w:ascii="Source Han Serif SC" w:hAnsi="Source Han Serif SC" w:eastAsia="Source Han Serif SC"/>
          <w:b/>
          <w:color w:val="1B365D"/>
          <w:sz w:val="21"/>
        </w:rPr>
        <w:t>审批义务</w:t>
      </w:r>
      <w:r>
        <w:rPr>
          <w:rFonts w:ascii="Source Han Serif SC" w:hAnsi="Source Han Serif SC" w:eastAsia="Source Han Serif SC"/>
          <w:b w:val="0"/>
          <w:color w:val="242A30"/>
          <w:sz w:val="21"/>
        </w:rPr>
        <w:t>：承诺“申请、补正、通报、配合”，并设未获批替代方案；不承诺行政机关必然批准。</w:t>
      </w:r>
    </w:p>
    <w:p>
      <w:pPr>
        <w:pStyle w:val="ListNumber"/>
        <w:spacing w:after="60"/>
        <w:ind w:left="397" w:hanging="198"/>
      </w:pPr>
      <w:r>
        <w:rPr>
          <w:rFonts w:ascii="Source Han Serif SC" w:hAnsi="Source Han Serif SC" w:eastAsia="Source Han Serif SC"/>
          <w:b/>
          <w:color w:val="1B365D"/>
          <w:sz w:val="21"/>
        </w:rPr>
        <w:t>过渡安置</w:t>
      </w:r>
      <w:r>
        <w:rPr>
          <w:rFonts w:ascii="Source Han Serif SC" w:hAnsi="Source Han Serif SC" w:eastAsia="Source Han Serif SC"/>
          <w:b w:val="0"/>
          <w:color w:val="242A30"/>
          <w:sz w:val="21"/>
        </w:rPr>
        <w:t>：触发条件、房源或金额、支付周期、递增和逾期标准写清。</w:t>
      </w:r>
    </w:p>
    <w:p>
      <w:pPr>
        <w:pStyle w:val="ListNumber"/>
        <w:spacing w:after="60"/>
        <w:ind w:left="397" w:hanging="198"/>
      </w:pPr>
      <w:r>
        <w:rPr>
          <w:rFonts w:ascii="Source Han Serif SC" w:hAnsi="Source Han Serif SC" w:eastAsia="Source Han Serif SC"/>
          <w:b/>
          <w:color w:val="1B365D"/>
          <w:sz w:val="21"/>
        </w:rPr>
        <w:t>违约责任</w:t>
      </w:r>
      <w:r>
        <w:rPr>
          <w:rFonts w:ascii="Source Han Serif SC" w:hAnsi="Source Han Serif SC" w:eastAsia="Source Han Serif SC"/>
          <w:b w:val="0"/>
          <w:color w:val="242A30"/>
          <w:sz w:val="21"/>
        </w:rPr>
        <w:t>：分节点计算违约金；可约定第三方代履行费用、继续履行、解除及恢复诉讼请求的处理，但不得规避法定执行程序。</w:t>
      </w:r>
    </w:p>
    <w:p>
      <w:pPr>
        <w:pStyle w:val="ListNumber"/>
        <w:spacing w:after="60"/>
        <w:ind w:left="397" w:hanging="198"/>
      </w:pPr>
      <w:r>
        <w:rPr>
          <w:rFonts w:ascii="Source Han Serif SC" w:hAnsi="Source Han Serif SC" w:eastAsia="Source Han Serif SC"/>
          <w:b/>
          <w:color w:val="1B365D"/>
          <w:sz w:val="21"/>
        </w:rPr>
        <w:t>强制执行</w:t>
      </w:r>
      <w:r>
        <w:rPr>
          <w:rFonts w:ascii="Source Han Serif SC" w:hAnsi="Source Han Serif SC" w:eastAsia="Source Han Serif SC"/>
          <w:b w:val="0"/>
          <w:color w:val="242A30"/>
          <w:sz w:val="21"/>
        </w:rPr>
        <w:t>：尽可能由法院制作民事调解书；金钱、交付、搬迁、特定修复义务写到可由执行机构识别。允许分阶段履行，并以每阶段验收单触发下一阶段。</w:t>
      </w:r>
    </w:p>
    <w:p>
      <w:r>
        <w:rPr>
          <w:rFonts w:ascii="Source Han Serif SC" w:hAnsi="Source Han Serif SC" w:eastAsia="Source Han Serif SC"/>
          <w:b w:val="0"/>
          <w:color w:val="242A30"/>
          <w:sz w:val="21"/>
        </w:rPr>
        <w:t>绝对避免：</w:t>
      </w:r>
    </w:p>
    <w:p>
      <w:pPr>
        <w:pStyle w:val="PullQuote"/>
        <w:pBdr>
          <w:left w:val="single" w:sz="18" w:space="10" w:color="A97732"/>
        </w:pBdr>
      </w:pPr>
      <w:r>
        <w:rPr>
          <w:rFonts w:ascii="TsangerJinKai02" w:hAnsi="TsangerJinKai02" w:eastAsia="TsangerJinKai02"/>
          <w:b w:val="0"/>
          <w:color w:val="1B365D"/>
          <w:sz w:val="22"/>
        </w:rPr>
        <w:t>“双方同意积极推进有机更新，共同争取早日解决。”</w:t>
      </w:r>
    </w:p>
    <w:p>
      <w:r>
        <w:rPr>
          <w:rFonts w:ascii="Source Han Serif SC" w:hAnsi="Source Han Serif SC" w:eastAsia="Source Han Serif SC"/>
          <w:b w:val="0"/>
          <w:color w:val="242A30"/>
          <w:sz w:val="21"/>
        </w:rPr>
        <w:t>这类句子没有主体、标的、期限、标准和违约后果，几乎不具执行价值。</w:t>
      </w:r>
    </w:p>
    <w:p>
      <w:pPr>
        <w:pStyle w:val="Heading1"/>
      </w:pPr>
      <w:r>
        <w:rPr>
          <w:rFonts w:ascii="TsangerJinKai02" w:hAnsi="TsangerJinKai02" w:eastAsia="TsangerJinKai02"/>
          <w:b/>
          <w:color w:val="1B365D"/>
          <w:sz w:val="36"/>
        </w:rPr>
        <w:t>九、首选、次选和底线方案</w:t>
      </w:r>
    </w:p>
    <w:p>
      <w:pPr>
        <w:pStyle w:val="Heading2"/>
      </w:pPr>
      <w:r>
        <w:rPr>
          <w:rFonts w:ascii="TsangerJinKai02" w:hAnsi="TsangerJinKai02" w:eastAsia="TsangerJinKai02"/>
          <w:b/>
          <w:color w:val="1B365D"/>
          <w:sz w:val="28"/>
        </w:rPr>
        <w:t>首选：修缮加固复鉴＋一屋一策双轨方案</w:t>
      </w:r>
    </w:p>
    <w:p>
      <w:r>
        <w:rPr>
          <w:rFonts w:ascii="Source Han Serif SC" w:hAnsi="Source Han Serif SC" w:eastAsia="Source Han Serif SC"/>
          <w:b w:val="0"/>
          <w:color w:val="242A30"/>
          <w:sz w:val="21"/>
        </w:rPr>
        <w:t>先在30日内完成基础恢复和资料交付；60日内由开福棚改投或经确认的实际主体形成综合治理方案；依法完成修缮加固后进行同范围复鉴；无法获批的更新内容不阻碍最低修复先行。</w:t>
      </w:r>
    </w:p>
    <w:p>
      <w:pPr>
        <w:pStyle w:val="ListBullet"/>
        <w:spacing w:after="60"/>
        <w:ind w:left="397" w:hanging="198"/>
      </w:pPr>
      <w:r>
        <w:rPr>
          <w:rFonts w:ascii="Source Han Serif SC" w:hAnsi="Source Han Serif SC" w:eastAsia="Source Han Serif SC"/>
          <w:b w:val="0"/>
          <w:color w:val="242A30"/>
          <w:sz w:val="21"/>
        </w:rPr>
        <w:t>法官可能推动：既解决眼前妨害，又形成安全闭环，不需法院直接决定规划。</w:t>
      </w:r>
    </w:p>
    <w:p>
      <w:pPr>
        <w:pStyle w:val="ListBullet"/>
        <w:spacing w:after="60"/>
        <w:ind w:left="397" w:hanging="198"/>
      </w:pPr>
      <w:r>
        <w:rPr>
          <w:rFonts w:ascii="Source Han Serif SC" w:hAnsi="Source Han Serif SC" w:eastAsia="Source Han Serif SC"/>
          <w:b w:val="0"/>
          <w:color w:val="242A30"/>
          <w:sz w:val="21"/>
        </w:rPr>
        <w:t>科棚可能接受：把其责任限定为可证明的具体行为、资料和协调，不让其单独背负全楼工程。</w:t>
      </w:r>
    </w:p>
    <w:p>
      <w:pPr>
        <w:pStyle w:val="ListBullet"/>
        <w:spacing w:after="60"/>
        <w:ind w:left="397" w:hanging="198"/>
      </w:pPr>
      <w:r>
        <w:rPr>
          <w:rFonts w:ascii="Source Han Serif SC" w:hAnsi="Source Han Serif SC" w:eastAsia="Source Han Serif SC"/>
          <w:b w:val="0"/>
          <w:color w:val="242A30"/>
          <w:sz w:val="21"/>
        </w:rPr>
        <w:t>开福棚改投可能接受：与其既有管理改造角色和2023年处置链条相容，可结合政策、项目和补助。</w:t>
      </w:r>
    </w:p>
    <w:p>
      <w:pPr>
        <w:pStyle w:val="ListBullet"/>
        <w:spacing w:after="60"/>
        <w:ind w:left="397" w:hanging="198"/>
      </w:pPr>
      <w:r>
        <w:rPr>
          <w:rFonts w:ascii="Source Han Serif SC" w:hAnsi="Source Han Serif SC" w:eastAsia="Source Han Serif SC"/>
          <w:b w:val="0"/>
          <w:color w:val="242A30"/>
          <w:sz w:val="21"/>
        </w:rPr>
        <w:t>原告可能接受：保留产权，得到可验收的安全和功能结果，同时保留更新机会。</w:t>
      </w:r>
    </w:p>
    <w:p>
      <w:pPr>
        <w:pStyle w:val="ListBullet"/>
        <w:spacing w:after="60"/>
        <w:ind w:left="397" w:hanging="198"/>
      </w:pPr>
      <w:r>
        <w:rPr>
          <w:rFonts w:ascii="Source Han Serif SC" w:hAnsi="Source Han Serif SC" w:eastAsia="Source Han Serif SC"/>
          <w:b w:val="0"/>
          <w:color w:val="242A30"/>
          <w:sz w:val="21"/>
        </w:rPr>
        <w:t>执行难度：中；附件化后可控。</w:t>
      </w:r>
    </w:p>
    <w:p>
      <w:pPr>
        <w:pStyle w:val="ListBullet"/>
        <w:spacing w:after="60"/>
        <w:ind w:left="397" w:hanging="198"/>
      </w:pPr>
      <w:r>
        <w:rPr>
          <w:rFonts w:ascii="Source Han Serif SC" w:hAnsi="Source Han Serif SC" w:eastAsia="Source Han Serif SC"/>
          <w:b w:val="0"/>
          <w:color w:val="242A30"/>
          <w:sz w:val="21"/>
        </w:rPr>
        <w:t>后续争议：明显减少，但仍需解决长期管理。</w:t>
      </w:r>
    </w:p>
    <w:p>
      <w:pPr>
        <w:pStyle w:val="Heading2"/>
      </w:pPr>
      <w:r>
        <w:rPr>
          <w:rFonts w:ascii="TsangerJinKai02" w:hAnsi="TsangerJinKai02" w:eastAsia="TsangerJinKai02"/>
          <w:b/>
          <w:color w:val="1B365D"/>
          <w:sz w:val="28"/>
        </w:rPr>
        <w:t>次选：市场化收购／置换一揽子终局方案</w:t>
      </w:r>
    </w:p>
    <w:p>
      <w:r>
        <w:rPr>
          <w:rFonts w:ascii="Source Han Serif SC" w:hAnsi="Source Han Serif SC" w:eastAsia="Source Han Serif SC"/>
          <w:b w:val="0"/>
          <w:color w:val="242A30"/>
          <w:sz w:val="21"/>
        </w:rPr>
        <w:t>由有真实授权和资金的主体在30日内完成评估与报价；签约后资金监管、产权转移、腾退、历史索赔、诉讼费用一次结清。也可采用住宅/商业物业加现金组合。</w:t>
      </w:r>
    </w:p>
    <w:p>
      <w:pPr>
        <w:pStyle w:val="ListBullet"/>
        <w:spacing w:after="60"/>
        <w:ind w:left="397" w:hanging="198"/>
      </w:pPr>
      <w:r>
        <w:rPr>
          <w:rFonts w:ascii="Source Han Serif SC" w:hAnsi="Source Han Serif SC" w:eastAsia="Source Han Serif SC"/>
          <w:b w:val="0"/>
          <w:color w:val="242A30"/>
          <w:sz w:val="21"/>
        </w:rPr>
        <w:t>法官可能推动：终局性最强，避免工程和产权长期纠缠。</w:t>
      </w:r>
    </w:p>
    <w:p>
      <w:pPr>
        <w:pStyle w:val="ListBullet"/>
        <w:spacing w:after="60"/>
        <w:ind w:left="397" w:hanging="198"/>
      </w:pPr>
      <w:r>
        <w:rPr>
          <w:rFonts w:ascii="Source Han Serif SC" w:hAnsi="Source Han Serif SC" w:eastAsia="Source Han Serif SC"/>
          <w:b w:val="0"/>
          <w:color w:val="242A30"/>
          <w:sz w:val="21"/>
        </w:rPr>
        <w:t>科棚可能接受：仅在其背后投资运营主体有收购授权且项目收益可覆盖成本时。</w:t>
      </w:r>
    </w:p>
    <w:p>
      <w:pPr>
        <w:pStyle w:val="ListBullet"/>
        <w:spacing w:after="60"/>
        <w:ind w:left="397" w:hanging="198"/>
      </w:pPr>
      <w:r>
        <w:rPr>
          <w:rFonts w:ascii="Source Han Serif SC" w:hAnsi="Source Han Serif SC" w:eastAsia="Source Han Serif SC"/>
          <w:b w:val="0"/>
          <w:color w:val="242A30"/>
          <w:sz w:val="21"/>
        </w:rPr>
        <w:t>开福棚改投可能接受：取得零散产权有利于片区统筹，但受国企资产、预算和审批约束。</w:t>
      </w:r>
    </w:p>
    <w:p>
      <w:pPr>
        <w:pStyle w:val="ListBullet"/>
        <w:spacing w:after="60"/>
        <w:ind w:left="397" w:hanging="198"/>
      </w:pPr>
      <w:r>
        <w:rPr>
          <w:rFonts w:ascii="Source Han Serif SC" w:hAnsi="Source Han Serif SC" w:eastAsia="Source Han Serif SC"/>
          <w:b w:val="0"/>
          <w:color w:val="242A30"/>
          <w:sz w:val="21"/>
        </w:rPr>
        <w:t>原告可能接受：取决于价格和置换标的，不得用诉讼压力迫使降低底线。</w:t>
      </w:r>
    </w:p>
    <w:p>
      <w:pPr>
        <w:pStyle w:val="ListBullet"/>
        <w:spacing w:after="60"/>
        <w:ind w:left="397" w:hanging="198"/>
      </w:pPr>
      <w:r>
        <w:rPr>
          <w:rFonts w:ascii="Source Han Serif SC" w:hAnsi="Source Han Serif SC" w:eastAsia="Source Han Serif SC"/>
          <w:b w:val="0"/>
          <w:color w:val="242A30"/>
          <w:sz w:val="21"/>
        </w:rPr>
        <w:t>执行难度：标的与资金确定后低至中。</w:t>
      </w:r>
    </w:p>
    <w:p>
      <w:pPr>
        <w:pStyle w:val="ListBullet"/>
        <w:spacing w:after="60"/>
        <w:ind w:left="397" w:hanging="198"/>
      </w:pPr>
      <w:r>
        <w:rPr>
          <w:rFonts w:ascii="Source Han Serif SC" w:hAnsi="Source Han Serif SC" w:eastAsia="Source Han Serif SC"/>
          <w:b w:val="0"/>
          <w:color w:val="242A30"/>
          <w:sz w:val="21"/>
        </w:rPr>
        <w:t>后续争议：最低。</w:t>
      </w:r>
    </w:p>
    <w:p>
      <w:pPr>
        <w:pStyle w:val="Heading2"/>
      </w:pPr>
      <w:r>
        <w:rPr>
          <w:rFonts w:ascii="TsangerJinKai02" w:hAnsi="TsangerJinKai02" w:eastAsia="TsangerJinKai02"/>
          <w:b/>
          <w:color w:val="1B365D"/>
          <w:sz w:val="28"/>
        </w:rPr>
        <w:t>底线：基础恢复＋治理资料交付＋后续协商保留</w:t>
      </w:r>
    </w:p>
    <w:p>
      <w:r>
        <w:rPr>
          <w:rFonts w:ascii="Source Han Serif SC" w:hAnsi="Source Han Serif SC" w:eastAsia="Source Han Serif SC"/>
          <w:b w:val="0"/>
          <w:color w:val="242A30"/>
          <w:sz w:val="21"/>
        </w:rPr>
        <w:t>15—30日内完成钻孔、垃圾、排水和安全通道；同步交付2022—2023全套鉴定加固资料和当前治理安排；未能达成整修或收购时，原告不放弃另行主张的权利。</w:t>
      </w:r>
    </w:p>
    <w:p>
      <w:pPr>
        <w:pStyle w:val="ListBullet"/>
        <w:spacing w:after="60"/>
        <w:ind w:left="397" w:hanging="198"/>
      </w:pPr>
      <w:r>
        <w:rPr>
          <w:rFonts w:ascii="Source Han Serif SC" w:hAnsi="Source Han Serif SC" w:eastAsia="Source Han Serif SC"/>
          <w:b w:val="0"/>
          <w:color w:val="242A30"/>
          <w:sz w:val="21"/>
        </w:rPr>
        <w:t>法官可能推动：低成本、立即可执行，至少缩小争议。</w:t>
      </w:r>
    </w:p>
    <w:p>
      <w:pPr>
        <w:pStyle w:val="ListBullet"/>
        <w:spacing w:after="60"/>
        <w:ind w:left="397" w:hanging="198"/>
      </w:pPr>
      <w:r>
        <w:rPr>
          <w:rFonts w:ascii="Source Han Serif SC" w:hAnsi="Source Han Serif SC" w:eastAsia="Source Han Serif SC"/>
          <w:b w:val="0"/>
          <w:color w:val="242A30"/>
          <w:sz w:val="21"/>
        </w:rPr>
        <w:t>科棚可能接受：责任和支出有限。</w:t>
      </w:r>
    </w:p>
    <w:p>
      <w:pPr>
        <w:pStyle w:val="ListBullet"/>
        <w:spacing w:after="60"/>
        <w:ind w:left="397" w:hanging="198"/>
      </w:pPr>
      <w:r>
        <w:rPr>
          <w:rFonts w:ascii="Source Han Serif SC" w:hAnsi="Source Han Serif SC" w:eastAsia="Source Han Serif SC"/>
          <w:b w:val="0"/>
          <w:color w:val="242A30"/>
          <w:sz w:val="21"/>
        </w:rPr>
        <w:t>开福棚改投可能接受：主要承担资料和共有部位协调。</w:t>
      </w:r>
    </w:p>
    <w:p>
      <w:pPr>
        <w:pStyle w:val="ListBullet"/>
        <w:spacing w:after="60"/>
        <w:ind w:left="397" w:hanging="198"/>
      </w:pPr>
      <w:r>
        <w:rPr>
          <w:rFonts w:ascii="Source Han Serif SC" w:hAnsi="Source Han Serif SC" w:eastAsia="Source Han Serif SC"/>
          <w:b w:val="0"/>
          <w:color w:val="242A30"/>
          <w:sz w:val="21"/>
        </w:rPr>
        <w:t>原告可能接受：仅适合作为最低保障，不能用概括性“案结事了”放弃未知结构和产权权利。</w:t>
      </w:r>
    </w:p>
    <w:p>
      <w:pPr>
        <w:pStyle w:val="ListBullet"/>
        <w:spacing w:after="60"/>
        <w:ind w:left="397" w:hanging="198"/>
      </w:pPr>
      <w:r>
        <w:rPr>
          <w:rFonts w:ascii="Source Han Serif SC" w:hAnsi="Source Han Serif SC" w:eastAsia="Source Han Serif SC"/>
          <w:b w:val="0"/>
          <w:color w:val="242A30"/>
          <w:sz w:val="21"/>
        </w:rPr>
        <w:t>执行难度：低。</w:t>
      </w:r>
    </w:p>
    <w:p>
      <w:pPr>
        <w:pStyle w:val="ListBullet"/>
        <w:spacing w:after="60"/>
        <w:ind w:left="397" w:hanging="198"/>
      </w:pPr>
      <w:r>
        <w:rPr>
          <w:rFonts w:ascii="Source Han Serif SC" w:hAnsi="Source Han Serif SC" w:eastAsia="Source Han Serif SC"/>
          <w:b w:val="0"/>
          <w:color w:val="242A30"/>
          <w:sz w:val="21"/>
        </w:rPr>
        <w:t>后续争议：仍可能发生，因此和解范围必须精确，不得笼统约定“全部纠纷一次性解决”。</w:t>
      </w:r>
    </w:p>
    <w:p>
      <w:pPr>
        <w:pStyle w:val="Heading1"/>
      </w:pPr>
      <w:r>
        <w:rPr>
          <w:rFonts w:ascii="TsangerJinKai02" w:hAnsi="TsangerJinKai02" w:eastAsia="TsangerJinKai02"/>
          <w:b/>
          <w:color w:val="1B365D"/>
          <w:sz w:val="36"/>
        </w:rPr>
        <w:t>十、模拟法官主持调解</w:t>
      </w:r>
    </w:p>
    <w:p>
      <w:pPr>
        <w:pStyle w:val="Heading2"/>
      </w:pPr>
      <w:r>
        <w:rPr>
          <w:rFonts w:ascii="TsangerJinKai02" w:hAnsi="TsangerJinKai02" w:eastAsia="TsangerJinKai02"/>
          <w:b/>
          <w:color w:val="1B365D"/>
          <w:sz w:val="28"/>
        </w:rPr>
        <w:t>第一阶段：确定目标和事实边界</w:t>
      </w:r>
    </w:p>
    <w:p>
      <w:r>
        <w:rPr>
          <w:rFonts w:ascii="Source Han Serif SC" w:hAnsi="Source Han Serif SC" w:eastAsia="Source Han Serif SC"/>
          <w:b/>
          <w:color w:val="1B365D"/>
          <w:sz w:val="21"/>
        </w:rPr>
        <w:t>法官问原告：</w:t>
      </w:r>
      <w:r>
        <w:rPr>
          <w:rFonts w:ascii="Source Han Serif SC" w:hAnsi="Source Han Serif SC" w:eastAsia="Source Han Serif SC"/>
          <w:b w:val="0"/>
          <w:color w:val="242A30"/>
          <w:sz w:val="21"/>
        </w:rPr>
        <w:t>你最终希望恢复到什么状态？请不要只说“恢复原状”，说清楚能验收的结果。</w:t>
      </w:r>
    </w:p>
    <w:p>
      <w:r>
        <w:rPr>
          <w:rFonts w:ascii="Source Han Serif SC" w:hAnsi="Source Han Serif SC" w:eastAsia="Source Han Serif SC"/>
          <w:b/>
          <w:color w:val="1B365D"/>
          <w:sz w:val="21"/>
        </w:rPr>
        <w:t>原告可答：</w:t>
      </w:r>
      <w:r>
        <w:rPr>
          <w:rFonts w:ascii="Source Han Serif SC" w:hAnsi="Source Han Serif SC" w:eastAsia="Source Han Serif SC"/>
          <w:b w:val="0"/>
          <w:color w:val="242A30"/>
          <w:sz w:val="21"/>
        </w:rPr>
        <w:t>第一，未经合法授权不得再进入东301钻孔、拆改；第二，现有钻孔、建筑垃圾、排水和通行问题要按点位修复；第三，若楼栋仍有安全问题，应由有职责、有能力的主体依法修缮加固并复鉴，使东301和必要共有部位具备安全、正常使用条件。原告不要求法院直接决定原拆原建，但愿意就一屋一策、依法更新或产权收购置换协商。</w:t>
      </w:r>
    </w:p>
    <w:p>
      <w:r>
        <w:rPr>
          <w:rFonts w:ascii="Source Han Serif SC" w:hAnsi="Source Han Serif SC" w:eastAsia="Source Han Serif SC"/>
          <w:b/>
          <w:color w:val="1B365D"/>
          <w:sz w:val="21"/>
        </w:rPr>
        <w:t>法官归纳：</w:t>
      </w:r>
      <w:r>
        <w:rPr>
          <w:rFonts w:ascii="Source Han Serif SC" w:hAnsi="Source Han Serif SC" w:eastAsia="Source Han Serif SC"/>
          <w:b w:val="0"/>
          <w:color w:val="242A30"/>
          <w:sz w:val="21"/>
        </w:rPr>
        <w:t>原告的判决目标是具体妨害和安全使用结果；工程路径和产权方案属于调解空间。请原告三日内提交点位图和项目清单。</w:t>
      </w:r>
    </w:p>
    <w:p>
      <w:pPr>
        <w:pStyle w:val="Heading2"/>
      </w:pPr>
      <w:r>
        <w:rPr>
          <w:rFonts w:ascii="TsangerJinKai02" w:hAnsi="TsangerJinKai02" w:eastAsia="TsangerJinKai02"/>
          <w:b/>
          <w:color w:val="1B365D"/>
          <w:sz w:val="28"/>
        </w:rPr>
        <w:t>第二阶段：追问科棚的权限与治理逻辑</w:t>
      </w:r>
    </w:p>
    <w:p>
      <w:r>
        <w:rPr>
          <w:rFonts w:ascii="Source Han Serif SC" w:hAnsi="Source Han Serif SC" w:eastAsia="Source Han Serif SC"/>
          <w:b/>
          <w:color w:val="1B365D"/>
          <w:sz w:val="21"/>
        </w:rPr>
        <w:t>法官问科棚：</w:t>
      </w:r>
      <w:r>
        <w:rPr>
          <w:rFonts w:ascii="Source Han Serif SC" w:hAnsi="Source Han Serif SC" w:eastAsia="Source Han Serif SC"/>
          <w:b w:val="0"/>
          <w:color w:val="242A30"/>
          <w:sz w:val="21"/>
        </w:rPr>
        <w:t>既然你方人员曾主张有权组织鉴定，你方权限来自哪里？委托合同、项目授权和进场通知在哪里？鉴定发现问题以后，谁负责治理？</w:t>
      </w:r>
    </w:p>
    <w:p>
      <w:r>
        <w:rPr>
          <w:rFonts w:ascii="Source Han Serif SC" w:hAnsi="Source Han Serif SC" w:eastAsia="Source Han Serif SC"/>
          <w:b/>
          <w:color w:val="1B365D"/>
          <w:sz w:val="21"/>
        </w:rPr>
        <w:t>科棚应说明：</w:t>
      </w:r>
      <w:r>
        <w:rPr>
          <w:rFonts w:ascii="Source Han Serif SC" w:hAnsi="Source Han Serif SC" w:eastAsia="Source Han Serif SC"/>
          <w:b w:val="0"/>
          <w:color w:val="242A30"/>
          <w:sz w:val="21"/>
        </w:rPr>
        <w:t>逐一提交或说明与开福棚改投、北城资产、街道及鉴定机构的合同和授权；确认谁实施钻孔、谁设置围挡、谁清理垃圾；区分其是否只是商业运营/协调者，是否有工程组织和付款权限。</w:t>
      </w:r>
    </w:p>
    <w:p>
      <w:r>
        <w:rPr>
          <w:rFonts w:ascii="Source Han Serif SC" w:hAnsi="Source Han Serif SC" w:eastAsia="Source Han Serif SC"/>
          <w:b/>
          <w:color w:val="1B365D"/>
          <w:sz w:val="21"/>
        </w:rPr>
        <w:t>法官继续问：</w:t>
      </w:r>
      <w:r>
        <w:rPr>
          <w:rFonts w:ascii="Source Han Serif SC" w:hAnsi="Source Han Serif SC" w:eastAsia="Source Han Serif SC"/>
          <w:b w:val="0"/>
          <w:color w:val="242A30"/>
          <w:sz w:val="21"/>
        </w:rPr>
        <w:t>如果你方只有鉴定或运营权限，就不能承诺无权履行的全楼重建；但由你方实施的钻孔和具体损坏仍需处理。你方是否同意先做现状确认、修复和资料交付，并邀请实际实施主体参加？</w:t>
      </w:r>
    </w:p>
    <w:p>
      <w:pPr>
        <w:pStyle w:val="Heading2"/>
      </w:pPr>
      <w:r>
        <w:rPr>
          <w:rFonts w:ascii="TsangerJinKai02" w:hAnsi="TsangerJinKai02" w:eastAsia="TsangerJinKai02"/>
          <w:b/>
          <w:color w:val="1B365D"/>
          <w:sz w:val="28"/>
        </w:rPr>
        <w:t>第三阶段：追问开福棚改投的既有职责</w:t>
      </w:r>
    </w:p>
    <w:p>
      <w:r>
        <w:rPr>
          <w:rFonts w:ascii="Source Han Serif SC" w:hAnsi="Source Han Serif SC" w:eastAsia="Source Han Serif SC"/>
          <w:b/>
          <w:color w:val="1B365D"/>
          <w:sz w:val="21"/>
        </w:rPr>
        <w:t>法官问开福棚改投：</w:t>
      </w:r>
      <w:r>
        <w:rPr>
          <w:rFonts w:ascii="Source Han Serif SC" w:hAnsi="Source Han Serif SC" w:eastAsia="Source Han Serif SC"/>
          <w:b w:val="0"/>
          <w:color w:val="242A30"/>
          <w:sz w:val="21"/>
        </w:rPr>
        <w:t>生效裁判已经确认你方有相应管理、改造职责。2022年C/Csu鉴定由谁委托？2023年加固的设计、施工、验收、复鉴和销号资料在哪里？目前的治理方案是什么？</w:t>
      </w:r>
    </w:p>
    <w:p>
      <w:r>
        <w:rPr>
          <w:rFonts w:ascii="Source Han Serif SC" w:hAnsi="Source Han Serif SC" w:eastAsia="Source Han Serif SC"/>
          <w:b/>
          <w:color w:val="1B365D"/>
          <w:sz w:val="21"/>
        </w:rPr>
        <w:t>开福棚改投应说明：</w:t>
      </w:r>
      <w:r>
        <w:rPr>
          <w:rFonts w:ascii="Source Han Serif SC" w:hAnsi="Source Han Serif SC" w:eastAsia="Source Han Serif SC"/>
          <w:b w:val="0"/>
          <w:color w:val="242A30"/>
          <w:sz w:val="21"/>
        </w:rPr>
        <w:t>提交完整材料；说明2023年约29.97万元加固覆盖范围、主体结构B级结论的准确范围、是否销号、当前危险点和围挡依据；说明12号是否纳入2026项目库、房屋鉴定采购或一屋一策；若无方案，说明责任部门和拟定期限。</w:t>
      </w:r>
    </w:p>
    <w:p>
      <w:r>
        <w:rPr>
          <w:rFonts w:ascii="Source Han Serif SC" w:hAnsi="Source Han Serif SC" w:eastAsia="Source Han Serif SC"/>
          <w:b/>
          <w:color w:val="1B365D"/>
          <w:sz w:val="21"/>
        </w:rPr>
        <w:t>法官提示：</w:t>
      </w:r>
      <w:r>
        <w:rPr>
          <w:rFonts w:ascii="Source Han Serif SC" w:hAnsi="Source Han Serif SC" w:eastAsia="Source Han Serif SC"/>
          <w:b w:val="0"/>
          <w:color w:val="242A30"/>
          <w:sz w:val="21"/>
        </w:rPr>
        <w:t>项目终止或片区尚未整体实施，不意味着基本安全、排水、通行可以无限期搁置。你方若认为所有权人应承担费用，可以提出分担方案，但不能只提交一份旧鉴定就结束。</w:t>
      </w:r>
    </w:p>
    <w:p>
      <w:pPr>
        <w:pStyle w:val="Heading2"/>
      </w:pPr>
      <w:r>
        <w:rPr>
          <w:rFonts w:ascii="TsangerJinKai02" w:hAnsi="TsangerJinKai02" w:eastAsia="TsangerJinKai02"/>
          <w:b/>
          <w:color w:val="1B365D"/>
          <w:sz w:val="28"/>
        </w:rPr>
        <w:t>第四阶段：提出分档方案</w:t>
      </w:r>
    </w:p>
    <w:p>
      <w:r>
        <w:rPr>
          <w:rFonts w:ascii="Source Han Serif SC" w:hAnsi="Source Han Serif SC" w:eastAsia="Source Han Serif SC"/>
          <w:b/>
          <w:color w:val="1B365D"/>
          <w:sz w:val="21"/>
        </w:rPr>
        <w:t>法官问各方：</w:t>
      </w:r>
      <w:r>
        <w:rPr>
          <w:rFonts w:ascii="Source Han Serif SC" w:hAnsi="Source Han Serif SC" w:eastAsia="Source Han Serif SC"/>
          <w:b w:val="0"/>
          <w:color w:val="242A30"/>
          <w:sz w:val="21"/>
        </w:rPr>
        <w:t>本案有四条现实路径：第一，先把垃圾、排水、围挡、钻孔解决；第二，在此基础上维修加固并复鉴；第三，由实际实施主体形成一屋一策并依法报审；第四，技术论证认为维修不合理时再谈原拆原建。另有一条退出路径是收购或置换。各方先回答自己有权决定哪一档、需要谁授权、多久能拿出书面方案。</w:t>
      </w:r>
    </w:p>
    <w:p>
      <w:r>
        <w:rPr>
          <w:rFonts w:ascii="Source Han Serif SC" w:hAnsi="Source Han Serif SC" w:eastAsia="Source Han Serif SC"/>
          <w:b/>
          <w:color w:val="1B365D"/>
          <w:sz w:val="21"/>
        </w:rPr>
        <w:t>对科棚：</w:t>
      </w:r>
      <w:r>
        <w:rPr>
          <w:rFonts w:ascii="Source Han Serif SC" w:hAnsi="Source Han Serif SC" w:eastAsia="Source Han Serif SC"/>
          <w:b w:val="0"/>
          <w:color w:val="242A30"/>
          <w:sz w:val="21"/>
        </w:rPr>
        <w:t>你方是否能在15日内完成直接行为修复，并在7日内提交授权文件？</w:t>
      </w:r>
    </w:p>
    <w:p>
      <w:r>
        <w:rPr>
          <w:rFonts w:ascii="Source Han Serif SC" w:hAnsi="Source Han Serif SC" w:eastAsia="Source Han Serif SC"/>
          <w:b/>
          <w:color w:val="1B365D"/>
          <w:sz w:val="21"/>
        </w:rPr>
        <w:t>对开福棚改投：</w:t>
      </w:r>
      <w:r>
        <w:rPr>
          <w:rFonts w:ascii="Source Han Serif SC" w:hAnsi="Source Han Serif SC" w:eastAsia="Source Han Serif SC"/>
          <w:b w:val="0"/>
          <w:color w:val="242A30"/>
          <w:sz w:val="21"/>
        </w:rPr>
        <w:t>你方是否能在30日内提交全套历史资料，在60日内提出修缮加固或一屋一策送审稿？</w:t>
      </w:r>
    </w:p>
    <w:p>
      <w:r>
        <w:rPr>
          <w:rFonts w:ascii="Source Han Serif SC" w:hAnsi="Source Han Serif SC" w:eastAsia="Source Han Serif SC"/>
          <w:b/>
          <w:color w:val="1B365D"/>
          <w:sz w:val="21"/>
        </w:rPr>
        <w:t>对原告：</w:t>
      </w:r>
      <w:r>
        <w:rPr>
          <w:rFonts w:ascii="Source Han Serif SC" w:hAnsi="Source Han Serif SC" w:eastAsia="Source Han Serif SC"/>
          <w:b w:val="0"/>
          <w:color w:val="242A30"/>
          <w:sz w:val="21"/>
        </w:rPr>
        <w:t>在不降低安全和产权底线的前提下，是否允许有资质人员提前通知后入户勘验，并在施工期接受合理临时防护？</w:t>
      </w:r>
    </w:p>
    <w:p>
      <w:pPr>
        <w:pStyle w:val="Heading2"/>
      </w:pPr>
      <w:r>
        <w:rPr>
          <w:rFonts w:ascii="TsangerJinKai02" w:hAnsi="TsangerJinKai02" w:eastAsia="TsangerJinKai02"/>
          <w:b/>
          <w:color w:val="1B365D"/>
          <w:sz w:val="28"/>
        </w:rPr>
        <w:t>第五阶段：形成可执行文本</w:t>
      </w:r>
    </w:p>
    <w:p>
      <w:r>
        <w:rPr>
          <w:rFonts w:ascii="Source Han Serif SC" w:hAnsi="Source Han Serif SC" w:eastAsia="Source Han Serif SC"/>
          <w:b/>
          <w:color w:val="1B365D"/>
          <w:sz w:val="21"/>
        </w:rPr>
        <w:t>法官归纳：</w:t>
      </w:r>
      <w:r>
        <w:rPr>
          <w:rFonts w:ascii="Source Han Serif SC" w:hAnsi="Source Han Serif SC" w:eastAsia="Source Han Serif SC"/>
          <w:b w:val="0"/>
          <w:color w:val="242A30"/>
          <w:sz w:val="21"/>
        </w:rPr>
        <w:t>先签第一阶段条款：七日现状确认、十五日修复钻孔和调整围挡、三十日排水清障及资料交付。第二阶段以共同鉴定为触发，明确机构选择、费用垫付、工程清单、设计施工和复鉴。第三阶段的一屋一策只写制定、报审、补正和通报义务，不写保证政府批准。若九十日内无法形成可实施工程方案，自动启动收购置换评估，或由双方回到法院对未解决请求继续处理。</w:t>
      </w:r>
    </w:p>
    <w:p>
      <w:r>
        <w:rPr>
          <w:rFonts w:ascii="Source Han Serif SC" w:hAnsi="Source Han Serif SC" w:eastAsia="Source Han Serif SC"/>
          <w:b/>
          <w:color w:val="1B365D"/>
          <w:sz w:val="21"/>
        </w:rPr>
        <w:t>法官最后核对：</w:t>
      </w:r>
      <w:r>
        <w:rPr>
          <w:rFonts w:ascii="Source Han Serif SC" w:hAnsi="Source Han Serif SC" w:eastAsia="Source Han Serif SC"/>
          <w:b w:val="0"/>
          <w:color w:val="242A30"/>
          <w:sz w:val="21"/>
        </w:rPr>
        <w:t>各方确认调解书附件中的点位图、工期表、验收标准、费用表和违约条款；未签字的行政机关和其他产权人不承担义务；原告放弃范围只限已履行完毕的具体项目，不包括隐瞒的结构危险或未约定产权事项。</w:t>
      </w:r>
    </w:p>
    <w:p>
      <w:pPr>
        <w:pStyle w:val="Heading1"/>
      </w:pPr>
      <w:r>
        <w:rPr>
          <w:rFonts w:ascii="TsangerJinKai02" w:hAnsi="TsangerJinKai02" w:eastAsia="TsangerJinKai02"/>
          <w:b/>
          <w:color w:val="1B365D"/>
          <w:sz w:val="36"/>
        </w:rPr>
        <w:t>十一、法官视角的最后结论</w:t>
      </w:r>
    </w:p>
    <w:p>
      <w:r>
        <w:rPr>
          <w:rFonts w:ascii="Source Han Serif SC" w:hAnsi="Source Han Serif SC" w:eastAsia="Source Han Serif SC"/>
          <w:b w:val="0"/>
          <w:color w:val="242A30"/>
          <w:sz w:val="21"/>
        </w:rPr>
        <w:t>最优解不是在“维修加固、有机更新、原拆原建、收购置换”之间抽象选一个口号，而是先锁定最低可执行义务，再让更高层方案有条件递进。法院判决守住具体妨害和安全结果；调解把实际实施主体、项目审批和产权交易带进来。只有把每一阶段的主体、期限、附件、验收和失败替代路径写死，才可能真正实现案结事了。</w:t>
      </w:r>
    </w:p>
    <w:sectPr w:rsidR="00FC693F" w:rsidRPr="0006063C" w:rsidSect="00034616">
      <w:headerReference w:type="default" r:id="rId9"/>
      <w:footerReference w:type="default" r:id="rId10"/>
      <w:pgSz w:w="11906" w:h="16838"/>
      <w:pgMar w:top="1077" w:right="1020" w:bottom="964" w:left="1134" w:header="454" w:footer="454"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center"/>
    </w:pPr>
    <w:r>
      <w:rPr>
        <w:rFonts w:ascii="Source Han Sans SC" w:hAnsi="Source Han Sans SC" w:eastAsia="Source Han Sans SC"/>
        <w:b w:val="0"/>
        <w:color w:val="66717B"/>
        <w:sz w:val="16"/>
      </w:rPr>
      <w:t xml:space="preserve">2026.08.13  ·  </w:t>
    </w:r>
    <w:r>
      <w:rPr>
        <w:rFonts w:ascii="Source Han Sans SC" w:hAnsi="Source Han Sans SC" w:eastAsia="Source Han Sans SC"/>
        <w:b w:val="0"/>
        <w:color w:val="66717B"/>
        <w:sz w:val="16"/>
      </w:rPr>
      <w:fldChar w:fldCharType="begin"/>
      <w:instrText xml:space="preserve">PAGE</w:instrText>
      <w:fldChar w:fldCharType="separate"/>
      <w:fldChar w:fldCharType="end"/>
    </w:r>
  </w:p>
</w:ftr>
</file>

<file path=word/header1.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Header"/>
      <w:jc w:val="right"/>
      <w:pBdr>
        <w:bottom w:val="single" w:sz="5" w:space="5" w:color="B4AD9B"/>
      </w:pBdr>
    </w:pPr>
    <w:r>
      <w:rPr>
        <w:rFonts w:ascii="Source Han Sans SC" w:hAnsi="Source Han Sans SC" w:eastAsia="Source Han Sans SC"/>
        <w:b w:val="0"/>
        <w:color w:val="66717B"/>
        <w:sz w:val="16"/>
      </w:rPr>
      <w:t>楠木厅12号案 · 城市更新政策专题</w:t>
    </w: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widowControl/>
      <w:spacing w:line="348" w:lineRule="auto" w:after="100"/>
    </w:pPr>
    <w:rPr>
      <w:rFonts w:ascii="Source Han Serif SC" w:hAnsi="Source Han Serif SC" w:eastAsia="Source Han Serif SC"/>
      <w:color w:val="242A30"/>
      <w:sz w:val="21"/>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widowControl/>
      <w:spacing w:before="360" w:after="180"/>
      <w:outlineLvl w:val="0"/>
    </w:pPr>
    <w:rPr>
      <w:rFonts w:asciiTheme="majorHAnsi" w:eastAsiaTheme="majorEastAsia" w:hAnsiTheme="majorHAnsi" w:cstheme="majorBidi" w:ascii="TsangerJinKai02" w:hAnsi="TsangerJinKai02" w:eastAsia="TsangerJinKai02"/>
      <w:b/>
      <w:bCs/>
      <w:color w:val="1B365D"/>
      <w:sz w:val="36"/>
      <w:szCs w:val="28"/>
    </w:rPr>
  </w:style>
  <w:style w:type="paragraph" w:styleId="Heading2">
    <w:name w:val="heading 2"/>
    <w:basedOn w:val="Normal"/>
    <w:next w:val="Normal"/>
    <w:link w:val="Heading2Char"/>
    <w:uiPriority w:val="9"/>
    <w:unhideWhenUsed/>
    <w:qFormat/>
    <w:rsid w:val="00FC693F"/>
    <w:pPr>
      <w:keepNext/>
      <w:keepLines/>
      <w:widowControl/>
      <w:spacing w:before="280" w:after="120"/>
      <w:outlineLvl w:val="1"/>
    </w:pPr>
    <w:rPr>
      <w:rFonts w:asciiTheme="majorHAnsi" w:eastAsiaTheme="majorEastAsia" w:hAnsiTheme="majorHAnsi" w:cstheme="majorBidi" w:ascii="TsangerJinKai02" w:hAnsi="TsangerJinKai02" w:eastAsia="TsangerJinKai02"/>
      <w:b/>
      <w:bCs/>
      <w:color w:val="1B365D"/>
      <w:sz w:val="28"/>
      <w:szCs w:val="26"/>
    </w:rPr>
  </w:style>
  <w:style w:type="paragraph" w:styleId="Heading3">
    <w:name w:val="heading 3"/>
    <w:basedOn w:val="Normal"/>
    <w:next w:val="Normal"/>
    <w:link w:val="Heading3Char"/>
    <w:uiPriority w:val="9"/>
    <w:unhideWhenUsed/>
    <w:qFormat/>
    <w:rsid w:val="00FC693F"/>
    <w:pPr>
      <w:keepNext/>
      <w:keepLines/>
      <w:widowControl/>
      <w:spacing w:before="200" w:after="80"/>
      <w:outlineLvl w:val="2"/>
    </w:pPr>
    <w:rPr>
      <w:rFonts w:asciiTheme="majorHAnsi" w:eastAsiaTheme="majorEastAsia" w:hAnsiTheme="majorHAnsi" w:cstheme="majorBidi" w:ascii="Source Han Sans SC" w:hAnsi="Source Han Sans SC" w:eastAsia="Source Han Sans SC"/>
      <w:b/>
      <w:bCs/>
      <w:color w:val="284F76"/>
      <w:sz w:val="23"/>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PullQuote">
    <w:name w:val="Pull Quote"/>
    <w:pPr>
      <w:spacing w:before="100" w:after="140"/>
      <w:ind w:left="397" w:right="283"/>
    </w:pPr>
    <w:rPr>
      <w:rFonts w:ascii="TsangerJinKai02" w:hAnsi="TsangerJinKai02" w:eastAsia="TsangerJinKai02"/>
      <w:color w:val="1B365D"/>
      <w:sz w:val="22"/>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eader" Target="header1.xml"/><Relationship Id="rId10"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法院调解方案设计</dc:title>
  <dc:subject>楠木厅12号排除妨害案 · 长沙城市更新政策专题研究</dc:subject>
  <dc:creator>诉讼专题研究工作稿</dc:creator>
  <cp:keywords>长沙城市更新, 楠木厅12号, 排除妨害, 危旧房, 潮宗街</cp:keywords>
  <dc:description>研究基准日：2026年8月13日</dc:description>
  <cp:lastModifiedBy/>
  <cp:revision>1</cp:revision>
  <dcterms:created xsi:type="dcterms:W3CDTF">2013-12-23T23:15:00Z</dcterms:created>
  <dcterms:modified xsi:type="dcterms:W3CDTF">2013-12-23T23:15:00Z</dcterms:modified>
  <cp:category/>
</cp:coreProperties>
</file>