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left"/>
      </w:pPr>
      <w:r>
        <w:rPr>
          <w:rFonts w:ascii="Source Han Sans SC" w:hAnsi="Source Han Sans SC" w:eastAsia="Source Han Sans SC"/>
          <w:b/>
          <w:color w:val="A97732"/>
          <w:sz w:val="20"/>
        </w:rPr>
        <w:t>专题研究</w:t>
      </w:r>
    </w:p>
    <w:p>
      <w:pPr>
        <w:spacing w:before="400" w:after="360"/>
      </w:pPr>
      <w:r>
        <w:rPr>
          <w:rFonts w:ascii="TsangerJinKai02" w:hAnsi="TsangerJinKai02" w:eastAsia="TsangerJinKai02"/>
          <w:b/>
          <w:color w:val="1B365D"/>
          <w:sz w:val="54"/>
        </w:rPr>
        <w:t>基于最新城市更新政策的诉讼请求评估</w:t>
      </w:r>
    </w:p>
    <w:p>
      <w:pPr>
        <w:spacing w:after="800"/>
      </w:pPr>
      <w:r>
        <w:rPr>
          <w:rFonts w:ascii="Source Han Sans SC" w:hAnsi="Source Han Sans SC" w:eastAsia="Source Han Sans SC"/>
          <w:b w:val="0"/>
          <w:color w:val="284F76"/>
          <w:sz w:val="24"/>
        </w:rPr>
        <w:t>请求分级 · 执行标准 · 推荐文本</w:t>
      </w:r>
    </w:p>
    <w:tbl>
      <w:tblPr>
        <w:tblW w:type="auto" w:w="0"/>
        <w:jc w:val="left"/>
        <w:tblLayout w:type="fixed"/>
        <w:tblLook w:firstColumn="1" w:firstRow="1" w:lastColumn="0" w:lastRow="0" w:noHBand="0" w:noVBand="1" w:val="04A0"/>
      </w:tblPr>
      <w:tblGrid>
        <w:gridCol w:w="8787"/>
      </w:tblGrid>
      <w:tr>
        <w:tc>
          <w:tcPr>
            <w:tcW w:type="dxa" w:w="9752"/>
            <w:shd w:fill="1B365D"/>
            <w:tcMar>
              <w:top w:w="180" w:type="dxa"/>
              <w:start w:w="220" w:type="dxa"/>
              <w:bottom w:w="180" w:type="dxa"/>
              <w:end w:w="220" w:type="dxa"/>
            </w:tcMar>
          </w:tcPr>
          <w:p>
            <w:pPr>
              <w:spacing w:after="40"/>
            </w:pPr>
            <w:r>
              <w:rPr>
                <w:rFonts w:ascii="Source Han Sans SC" w:hAnsi="Source Han Sans SC" w:eastAsia="Source Han Sans SC"/>
                <w:b/>
                <w:color w:val="FFFFFF"/>
                <w:sz w:val="22"/>
              </w:rPr>
              <w:t>李运芳诉长沙科棚潮宗街商业管理有限公司</w:t>
            </w:r>
          </w:p>
          <w:p>
            <w:pPr>
              <w:spacing w:after="40"/>
            </w:pPr>
            <w:r>
              <w:rPr>
                <w:rFonts w:ascii="Source Han Sans SC" w:hAnsi="Source Han Sans SC" w:eastAsia="Source Han Sans SC"/>
                <w:b w:val="0"/>
                <w:color w:val="FFFFFF"/>
                <w:sz w:val="20"/>
              </w:rPr>
              <w:t>排除妨害纠纷 · 楠木厅巷12号东301房及所在楼栋</w:t>
            </w:r>
          </w:p>
        </w:tc>
      </w:tr>
    </w:tbl>
    <w:p>
      <w:pPr>
        <w:spacing w:before="1600"/>
      </w:pPr>
      <w:r>
        <w:rPr>
          <w:rFonts w:ascii="Source Han Sans SC" w:hAnsi="Source Han Sans SC" w:eastAsia="Source Han Sans SC"/>
          <w:b/>
          <w:color w:val="66717B"/>
          <w:sz w:val="18"/>
        </w:rPr>
        <w:t>研究基准日</w:t>
      </w:r>
      <w:r>
        <w:br/>
      </w:r>
      <w:r>
        <w:rPr>
          <w:rFonts w:ascii="TsangerJinKai02" w:hAnsi="TsangerJinKai02" w:eastAsia="TsangerJinKai02"/>
          <w:b/>
          <w:color w:val="1B365D"/>
          <w:sz w:val="28"/>
        </w:rPr>
        <w:t>2026年8月13日</w:t>
      </w:r>
    </w:p>
    <w:p>
      <w:pPr>
        <w:spacing w:before="280"/>
      </w:pPr>
      <w:r>
        <w:rPr>
          <w:rFonts w:ascii="Source Han Sans SC" w:hAnsi="Source Han Sans SC" w:eastAsia="Source Han Sans SC"/>
          <w:b w:val="0"/>
          <w:color w:val="66717B"/>
          <w:sz w:val="17"/>
        </w:rPr>
        <w:t>文件定位：诉讼策略研究 · 非鉴定意见 · 非个案裁判结论</w:t>
      </w:r>
    </w:p>
    <w:p>
      <w:r>
        <w:br w:type="page"/>
      </w:r>
    </w:p>
    <w:p>
      <w:pPr>
        <w:pStyle w:val="Heading1"/>
      </w:pPr>
      <w:r>
        <w:rPr>
          <w:rFonts w:ascii="TsangerJinKai02" w:hAnsi="TsangerJinKai02" w:eastAsia="TsangerJinKai02"/>
          <w:b/>
          <w:color w:val="1B365D"/>
          <w:sz w:val="36"/>
        </w:rPr>
        <w:t>李运芳诉长沙科棚潮宗街商业管理有限公司排除妨害纠纷案</w:t>
      </w:r>
    </w:p>
    <w:p>
      <w:r>
        <w:rPr>
          <w:rFonts w:ascii="Source Han Sans SC" w:hAnsi="Source Han Sans SC" w:eastAsia="Source Han Sans SC"/>
          <w:b/>
          <w:color w:val="284F76"/>
          <w:sz w:val="19"/>
        </w:rPr>
        <w:t>评估基准日：2026年8月13日</w:t>
      </w:r>
    </w:p>
    <w:p>
      <w:pPr>
        <w:pStyle w:val="Heading1"/>
      </w:pPr>
      <w:r>
        <w:rPr>
          <w:rFonts w:ascii="TsangerJinKai02" w:hAnsi="TsangerJinKai02" w:eastAsia="TsangerJinKai02"/>
          <w:b/>
          <w:color w:val="1B365D"/>
          <w:sz w:val="36"/>
        </w:rPr>
        <w:t>一、诉讼定位：政策是论证工具，不是请求权来源</w:t>
      </w:r>
    </w:p>
    <w:p>
      <w:r>
        <w:rPr>
          <w:rFonts w:ascii="Source Han Serif SC" w:hAnsi="Source Han Serif SC" w:eastAsia="Source Han Serif SC"/>
          <w:b w:val="0"/>
          <w:color w:val="242A30"/>
          <w:sz w:val="21"/>
        </w:rPr>
        <w:t>本案请求权基础仍是《民法典》物权保护规则及侵权责任规则。2026年长沙城市更新政策只承担六项辅助功能：解释现实治理路径；证明危房可以维修加固而非只能围挡；说明鉴定之后应进入治理；为法院调解提供方案；指向项目库、房屋体检、“一房一策”和实施主体等待调证事实；说明恢复安全使用功能与当前公共治理方向一致。</w:t>
      </w:r>
    </w:p>
    <w:p>
      <w:r>
        <w:rPr>
          <w:rFonts w:ascii="Source Han Serif SC" w:hAnsi="Source Han Serif SC" w:eastAsia="Source Han Serif SC"/>
          <w:b w:val="0"/>
          <w:color w:val="242A30"/>
          <w:sz w:val="21"/>
        </w:rPr>
        <w:t>它不能单独证明：科棚是结构安全责任人；科棚必须出资；楠木厅12号已经纳入更新项目；任何业主都可单方决定原拆原建；法院可以替行政机关审批；被告必须收购房屋。</w:t>
      </w:r>
    </w:p>
    <w:p>
      <w:pPr>
        <w:pStyle w:val="Heading1"/>
      </w:pPr>
      <w:r>
        <w:rPr>
          <w:rFonts w:ascii="TsangerJinKai02" w:hAnsi="TsangerJinKai02" w:eastAsia="TsangerJinKai02"/>
          <w:b/>
          <w:color w:val="1B365D"/>
          <w:sz w:val="36"/>
        </w:rPr>
        <w:t>二、“恢复原状”的最终处理意见</w:t>
      </w:r>
    </w:p>
    <w:p>
      <w:pPr>
        <w:pStyle w:val="Heading2"/>
      </w:pPr>
      <w:r>
        <w:rPr>
          <w:rFonts w:ascii="TsangerJinKai02" w:hAnsi="TsangerJinKai02" w:eastAsia="TsangerJinKai02"/>
          <w:b/>
          <w:color w:val="1B365D"/>
          <w:sz w:val="28"/>
        </w:rPr>
        <w:t>1. 不建议删除其法律内核，但应删除其模糊表达</w:t>
      </w:r>
    </w:p>
    <w:p>
      <w:r>
        <w:rPr>
          <w:rFonts w:ascii="Source Han Serif SC" w:hAnsi="Source Han Serif SC" w:eastAsia="Source Han Serif SC"/>
          <w:b w:val="0"/>
          <w:color w:val="242A30"/>
          <w:sz w:val="21"/>
        </w:rPr>
        <w:t>“恢复原状”是《民法典》认可的责任方式，法律概念本身没有问题。问题在于本案房屋历经征收、部分收购、拆改、失修、危险鉴定、2023年加固和后续围挡，“原状”可能指侵害前、征收前、2022年鉴定前、2023年加固后或当前之前的不同节点。如果不写明具体对象、项目、技术标准和责任范围，判决难以作出，也难以执行。</w:t>
      </w:r>
    </w:p>
    <w:p>
      <w:r>
        <w:rPr>
          <w:rFonts w:ascii="Source Han Serif SC" w:hAnsi="Source Han Serif SC" w:eastAsia="Source Han Serif SC"/>
          <w:b w:val="0"/>
          <w:color w:val="242A30"/>
          <w:sz w:val="21"/>
        </w:rPr>
        <w:t>故建议：在事实和法律理由中保留“恢复原状／恢复功能”的责任性质；在诉讼请求中改写为</w:t>
      </w:r>
      <w:r>
        <w:rPr>
          <w:rFonts w:ascii="Source Han Serif SC" w:hAnsi="Source Han Serif SC" w:eastAsia="Source Han Serif SC"/>
          <w:b/>
          <w:color w:val="1B365D"/>
          <w:sz w:val="21"/>
        </w:rPr>
        <w:t>排除具体妨害＋修复具体损坏＋在责任范围内恢复安全、正常使用功能</w:t>
      </w:r>
      <w:r>
        <w:rPr>
          <w:rFonts w:ascii="Source Han Serif SC" w:hAnsi="Source Han Serif SC" w:eastAsia="Source Han Serif SC"/>
          <w:b w:val="0"/>
          <w:color w:val="242A30"/>
          <w:sz w:val="21"/>
        </w:rPr>
        <w:t>。</w:t>
      </w:r>
    </w:p>
    <w:p>
      <w:pPr>
        <w:pStyle w:val="Heading2"/>
      </w:pPr>
      <w:r>
        <w:rPr>
          <w:rFonts w:ascii="TsangerJinKai02" w:hAnsi="TsangerJinKai02" w:eastAsia="TsangerJinKai02"/>
          <w:b/>
          <w:color w:val="1B365D"/>
          <w:sz w:val="28"/>
        </w:rPr>
        <w:t>2. 不能机械写“不低于此前B/Bsu”</w:t>
      </w:r>
    </w:p>
    <w:p>
      <w:r>
        <w:rPr>
          <w:rFonts w:ascii="Source Han Serif SC" w:hAnsi="Source Han Serif SC" w:eastAsia="Source Han Serif SC"/>
          <w:b w:val="0"/>
          <w:color w:val="242A30"/>
          <w:sz w:val="21"/>
        </w:rPr>
        <w:t>项目内现有证据显示，2022年为C/Csu，2023年加固后裁判只确认“主体结构安全性鉴定等级为B级”。尚未取得2023年完整报告，不能确认该报告是否对整栋的地基、上部结构、围护系统、使用性、排水、消防、通行作出同范围B/Bsu结论。因此“不低于B/Bsu”只能作为满足可比性后的调解备选标准，不能现阶段直接写成刚性诉请。</w:t>
      </w:r>
    </w:p>
    <w:p>
      <w:r>
        <w:rPr>
          <w:rFonts w:ascii="Source Han Serif SC" w:hAnsi="Source Han Serif SC" w:eastAsia="Source Han Serif SC"/>
          <w:b w:val="0"/>
          <w:color w:val="242A30"/>
          <w:sz w:val="21"/>
        </w:rPr>
        <w:t>推荐验收标准是：</w:t>
      </w:r>
    </w:p>
    <w:p>
      <w:pPr>
        <w:pStyle w:val="PullQuote"/>
        <w:pBdr>
          <w:left w:val="single" w:sz="18" w:space="10" w:color="A97732"/>
        </w:pBdr>
      </w:pPr>
      <w:r>
        <w:rPr>
          <w:rFonts w:ascii="TsangerJinKai02" w:hAnsi="TsangerJinKai02" w:eastAsia="TsangerJinKai02"/>
          <w:b w:val="0"/>
          <w:color w:val="1B365D"/>
          <w:sz w:val="22"/>
        </w:rPr>
        <w:t>由双方共同选定或法院依法委托的有资质机构，依据届时有效标准，对约定的同一鉴定单元、同一范围进行复核；确认约定修复加固项目合格，危险构件已经消除或有效控制，涉案房屋及其正常使用所必需的共有部位达到依法安全、正常使用状态。经专家确认2023年报告具有可比性时，复核结果同时不得低于该报告同一标准、同一对象、同一范围的结论。</w:t>
      </w:r>
    </w:p>
    <w:p>
      <w:pPr>
        <w:pStyle w:val="Heading1"/>
      </w:pPr>
      <w:r>
        <w:rPr>
          <w:rFonts w:ascii="TsangerJinKai02" w:hAnsi="TsangerJinKai02" w:eastAsia="TsangerJinKai02"/>
          <w:b/>
          <w:color w:val="1B365D"/>
          <w:sz w:val="36"/>
        </w:rPr>
        <w:t>三、四种诉请设计比较</w:t>
      </w:r>
    </w:p>
    <w:tbl>
      <w:tblPr>
        <w:tblW w:type="auto" w:w="0"/>
        <w:jc w:val="center"/>
        <w:tblLayout w:type="autofit"/>
        <w:tblLook w:firstColumn="1" w:firstRow="1" w:lastColumn="0" w:lastRow="0" w:noHBand="0" w:noVBand="1" w:val="04A0"/>
      </w:tblPr>
      <w:tblGrid>
        <w:gridCol w:w="1950"/>
        <w:gridCol w:w="1950"/>
        <w:gridCol w:w="1950"/>
        <w:gridCol w:w="1950"/>
        <w:gridCol w:w="1950"/>
      </w:tblGrid>
      <w:tr>
        <w:trPr>
          <w:tblHeader w:val="true"/>
        </w:trPr>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方案</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示例</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优点</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主要缺点与执行风险</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法官接受度</w:t>
            </w:r>
          </w:p>
        </w:tc>
      </w:tr>
      <w:tr>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A 传统恢复原状</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判令被告恢复涉案房屋原状</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法律术语简洁；覆盖面表面较大；可保留责任方式的概括性</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原状时点不明、责任范围不明、工程内容不明、验收标准不明；可能涉及第三人和行政审批；极易被认定请求不明确或判后无法执行</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42/100</w:t>
            </w:r>
          </w:p>
        </w:tc>
      </w:tr>
      <w:tr>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B 四项具体恢复</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清垃圾、恢复排水、恢复通行、修复加固至安全使用</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对象可勘验、措施可设计、结果可复核；与物权保护和危房治理均衔接；可按证据强弱拆分支持</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公共部位权属、行为主体和因果关系需逐项证明；楼栋加固可能不是科棚单独能履行</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82/100</w:t>
            </w:r>
          </w:p>
        </w:tc>
      </w:tr>
      <w:tr>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C 直接有机更新</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判令被告对涉案楼栋实施有机更新</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可表达希望整体解决的真实目标</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“有机更新”是政策/项目概念，范围、主体、资金、许可、完成标准都不确定；越过行政职权和其他业主</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20/100</w:t>
            </w:r>
          </w:p>
        </w:tc>
      </w:tr>
      <w:tr>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D 直接原拆原建</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判令被告对楠木厅12号原拆原建</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若依法落地，可能一次性改善结构和使用条件</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需要业主决策、产权处理、保护论证、规划许可、建设审批、费用安排；历史街区从严保护；“四原”并非无条件承诺；科棚主体能力未证</w:t>
            </w:r>
          </w:p>
        </w:tc>
        <w:tc>
          <w:tcPr>
            <w:tcW w:type="dxa" w:w="1950"/>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15/100</w:t>
            </w:r>
          </w:p>
        </w:tc>
      </w:tr>
    </w:tbl>
    <w:p>
      <w:pPr>
        <w:spacing w:after="40"/>
      </w:pPr>
    </w:p>
    <w:p>
      <w:pPr>
        <w:pStyle w:val="Heading2"/>
      </w:pPr>
      <w:r>
        <w:rPr>
          <w:rFonts w:ascii="TsangerJinKai02" w:hAnsi="TsangerJinKai02" w:eastAsia="TsangerJinKai02"/>
          <w:b/>
          <w:color w:val="1B365D"/>
          <w:sz w:val="28"/>
        </w:rPr>
        <w:t>结论</w:t>
      </w:r>
    </w:p>
    <w:p>
      <w:r>
        <w:rPr>
          <w:rFonts w:ascii="Source Han Serif SC" w:hAnsi="Source Han Serif SC" w:eastAsia="Source Han Serif SC"/>
          <w:b w:val="0"/>
          <w:color w:val="242A30"/>
          <w:sz w:val="21"/>
        </w:rPr>
        <w:t>正式诉讼采用B；A只保留为法律责任概括；C、D降级为调解路径。法院主要判“结果”，不要替行政机关、工程主体和全体产权人预先选定唯一工程方法。</w:t>
      </w:r>
    </w:p>
    <w:p>
      <w:pPr>
        <w:pStyle w:val="Heading1"/>
      </w:pPr>
      <w:r>
        <w:rPr>
          <w:rFonts w:ascii="TsangerJinKai02" w:hAnsi="TsangerJinKai02" w:eastAsia="TsangerJinKai02"/>
          <w:b/>
          <w:color w:val="1B365D"/>
          <w:sz w:val="36"/>
        </w:rPr>
        <w:t>四、三级诉请结构</w:t>
      </w:r>
    </w:p>
    <w:p>
      <w:pPr>
        <w:pStyle w:val="Heading2"/>
      </w:pPr>
      <w:r>
        <w:rPr>
          <w:rFonts w:ascii="TsangerJinKai02" w:hAnsi="TsangerJinKai02" w:eastAsia="TsangerJinKai02"/>
          <w:b/>
          <w:color w:val="1B365D"/>
          <w:sz w:val="28"/>
        </w:rPr>
        <w:t>第一层：法院判决的法律结果</w:t>
      </w:r>
    </w:p>
    <w:p>
      <w:r>
        <w:rPr>
          <w:rFonts w:ascii="Source Han Serif SC" w:hAnsi="Source Han Serif SC" w:eastAsia="Source Han Serif SC"/>
          <w:b w:val="0"/>
          <w:color w:val="242A30"/>
          <w:sz w:val="21"/>
        </w:rPr>
        <w:t>停止侵害、排除妨害、修复具体损坏，并在被告责任及因果关系范围内恢复涉案房屋安全、正常使用功能。</w:t>
      </w:r>
    </w:p>
    <w:p>
      <w:pPr>
        <w:pStyle w:val="Heading2"/>
      </w:pPr>
      <w:r>
        <w:rPr>
          <w:rFonts w:ascii="TsangerJinKai02" w:hAnsi="TsangerJinKai02" w:eastAsia="TsangerJinKai02"/>
          <w:b/>
          <w:color w:val="1B365D"/>
          <w:sz w:val="28"/>
        </w:rPr>
        <w:t>第二层：可执行项目</w:t>
      </w:r>
    </w:p>
    <w:p>
      <w:pPr>
        <w:pStyle w:val="ListBullet"/>
        <w:spacing w:after="60"/>
        <w:ind w:left="397" w:hanging="198"/>
      </w:pPr>
      <w:r>
        <w:rPr>
          <w:rFonts w:ascii="Source Han Serif SC" w:hAnsi="Source Han Serif SC" w:eastAsia="Source Han Serif SC"/>
          <w:b w:val="0"/>
          <w:color w:val="242A30"/>
          <w:sz w:val="21"/>
        </w:rPr>
        <w:t>修补东301内钻孔及因进场、取样、施工造成的明确损坏；</w:t>
      </w:r>
    </w:p>
    <w:p>
      <w:pPr>
        <w:pStyle w:val="ListBullet"/>
        <w:spacing w:after="60"/>
        <w:ind w:left="397" w:hanging="198"/>
      </w:pPr>
      <w:r>
        <w:rPr>
          <w:rFonts w:ascii="Source Han Serif SC" w:hAnsi="Source Han Serif SC" w:eastAsia="Source Han Serif SC"/>
          <w:b w:val="0"/>
          <w:color w:val="242A30"/>
          <w:sz w:val="21"/>
        </w:rPr>
        <w:t>清除指定位置、指定种类且可归责的建筑垃圾；</w:t>
      </w:r>
    </w:p>
    <w:p>
      <w:pPr>
        <w:pStyle w:val="ListBullet"/>
        <w:spacing w:after="60"/>
        <w:ind w:left="397" w:hanging="198"/>
      </w:pPr>
      <w:r>
        <w:rPr>
          <w:rFonts w:ascii="Source Han Serif SC" w:hAnsi="Source Han Serif SC" w:eastAsia="Source Han Serif SC"/>
          <w:b w:val="0"/>
          <w:color w:val="242A30"/>
          <w:sz w:val="21"/>
        </w:rPr>
        <w:t>疏通或修复指定排水管线、沟槽、落水设施；</w:t>
      </w:r>
    </w:p>
    <w:p>
      <w:pPr>
        <w:pStyle w:val="ListBullet"/>
        <w:spacing w:after="60"/>
        <w:ind w:left="397" w:hanging="198"/>
      </w:pPr>
      <w:r>
        <w:rPr>
          <w:rFonts w:ascii="Source Han Serif SC" w:hAnsi="Source Han Serif SC" w:eastAsia="Source Han Serif SC"/>
          <w:b w:val="0"/>
          <w:color w:val="242A30"/>
          <w:sz w:val="21"/>
        </w:rPr>
        <w:t>调整、拆除或设置安全通道，排除超过临时安全防护必要限度的围挡妨害；</w:t>
      </w:r>
    </w:p>
    <w:p>
      <w:pPr>
        <w:pStyle w:val="ListBullet"/>
        <w:spacing w:after="60"/>
        <w:ind w:left="397" w:hanging="198"/>
      </w:pPr>
      <w:r>
        <w:rPr>
          <w:rFonts w:ascii="Source Han Serif SC" w:hAnsi="Source Han Serif SC" w:eastAsia="Source Han Serif SC"/>
          <w:b w:val="0"/>
          <w:color w:val="242A30"/>
          <w:sz w:val="21"/>
        </w:rPr>
        <w:t>修复与东301安全、正常使用直接相关的门窗、围护、楼梯、消防疏散和其他设施；</w:t>
      </w:r>
    </w:p>
    <w:p>
      <w:pPr>
        <w:pStyle w:val="ListBullet"/>
        <w:spacing w:after="60"/>
        <w:ind w:left="397" w:hanging="198"/>
      </w:pPr>
      <w:r>
        <w:rPr>
          <w:rFonts w:ascii="Source Han Serif SC" w:hAnsi="Source Han Serif SC" w:eastAsia="Source Han Serif SC"/>
          <w:b w:val="0"/>
          <w:color w:val="242A30"/>
          <w:sz w:val="21"/>
        </w:rPr>
        <w:t>对经鉴定确认与被告行为或其管理职责有关的危险构件进行合法设计、修缮和加固；</w:t>
      </w:r>
    </w:p>
    <w:p>
      <w:pPr>
        <w:pStyle w:val="ListBullet"/>
        <w:spacing w:after="60"/>
        <w:ind w:left="397" w:hanging="198"/>
      </w:pPr>
      <w:r>
        <w:rPr>
          <w:rFonts w:ascii="Source Han Serif SC" w:hAnsi="Source Han Serif SC" w:eastAsia="Source Han Serif SC"/>
          <w:b w:val="0"/>
          <w:color w:val="242A30"/>
          <w:sz w:val="21"/>
        </w:rPr>
        <w:t>完成项目验收和约定范围复鉴。</w:t>
      </w:r>
    </w:p>
    <w:p>
      <w:pPr>
        <w:pStyle w:val="Heading2"/>
      </w:pPr>
      <w:r>
        <w:rPr>
          <w:rFonts w:ascii="TsangerJinKai02" w:hAnsi="TsangerJinKai02" w:eastAsia="TsangerJinKai02"/>
          <w:b/>
          <w:color w:val="1B365D"/>
          <w:sz w:val="28"/>
        </w:rPr>
        <w:t>第三层：履行技术路径</w:t>
      </w:r>
    </w:p>
    <w:p>
      <w:r>
        <w:rPr>
          <w:rFonts w:ascii="Source Han Serif SC" w:hAnsi="Source Han Serif SC" w:eastAsia="Source Han Serif SC"/>
          <w:b w:val="0"/>
          <w:color w:val="242A30"/>
          <w:sz w:val="21"/>
        </w:rPr>
        <w:t>义务主体可以在不降低结果标准的前提下，依法选择修缮、加固、经批准的“一屋一策”维护、城市更新项目、改建，或在条件成熟时原拆原建。判决一般不应提前锁死路径；调解可以在各方自愿且条件完整时约定路径。</w:t>
      </w:r>
    </w:p>
    <w:p>
      <w:pPr>
        <w:pStyle w:val="Heading1"/>
      </w:pPr>
      <w:r>
        <w:rPr>
          <w:rFonts w:ascii="TsangerJinKai02" w:hAnsi="TsangerJinKai02" w:eastAsia="TsangerJinKai02"/>
          <w:b/>
          <w:color w:val="1B365D"/>
          <w:sz w:val="36"/>
        </w:rPr>
        <w:t>五、现有诉讼请求逐项重评</w:t>
      </w:r>
    </w:p>
    <w:tbl>
      <w:tblPr>
        <w:tblW w:type="auto" w:w="0"/>
        <w:jc w:val="center"/>
        <w:tblLayout w:type="autofit"/>
        <w:tblLook w:firstColumn="1" w:firstRow="1" w:lastColumn="0" w:lastRow="0" w:noHBand="0" w:noVBand="1" w:val="04A0"/>
      </w:tblPr>
      <w:tblGrid>
        <w:gridCol w:w="1393"/>
        <w:gridCol w:w="1393"/>
        <w:gridCol w:w="1393"/>
        <w:gridCol w:w="1393"/>
        <w:gridCol w:w="1393"/>
        <w:gridCol w:w="1393"/>
        <w:gridCol w:w="1393"/>
      </w:tblGrid>
      <w:tr>
        <w:trPr>
          <w:tblHeader w:val="true"/>
        </w:trP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6"/>
              </w:rPr>
              <w:t>当前诉请</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6"/>
              </w:rPr>
              <w:t>等级</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6"/>
              </w:rPr>
              <w:t>问题</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6"/>
              </w:rPr>
              <w:t>最新政策影响</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6"/>
              </w:rPr>
              <w:t>建议</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6"/>
              </w:rPr>
              <w:t>推荐新表述</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6"/>
              </w:rPr>
              <w:t>判决/调解</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禁止科棚未经同意进入东301、钻孔、拆改</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A</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需证明产权、实施主体、无合法授权及行为现实可能性；“任何进入”可能妨碍法定应急处置</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“严禁借危房违法拆改”加强程序正当性，但不否定依法应急处置</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保留并加合法例外</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判令被告停止未经原告同意且无法律、行政决定或紧急避险依据的入户、钻孔、拆改行为；依法实施紧急处置的，应及时通知并尽量减少损害</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判决</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修复东301钻孔及其他明确损坏</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A</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需用照片、勘验、报警记录、鉴定取样记录证明位置和因果关系</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政策不改变侵权责任，但强调工程依法、损坏修复</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保留并具体化点位、材料、工艺</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判令被告在指定期限内按有资质单位方案修补附件点位图所列钻孔及损坏，经原告和监理/第三方验收</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判决</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清除建筑垃圾</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B</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必须确定位置、垃圾性质、堆放人、妨害程度；生活垃圾与建筑垃圾不能混同</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城市更新闭环支持清障，但不能替代归责证明</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修改，先现场勘验</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清除附件现场图A1—A×所示、经审理认定由被告堆放或控制的建筑垃圾，并恢复地面/通道</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判决；争议部分调解</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恢复排水</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B</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需查明管线、堵点、共用性质、现状成因、修复方案</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危旧房治理强调基本功能，但公共管网可能需管理主体和其他业主参与</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修改并申请排水勘验/鉴定</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疏通并修复附件管线图P1—P×所示排水设施，使其通过通水试验；公共部位由有权管理主体配合</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判决；整网改造调解</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排除围挡、恢复正常通行</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B</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全拆可能与现存危险冲突；应区分必要防护与过度妨害</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C级不等于永久围挡；但治理前临时防护有正当性</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改为比例性请求</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调整或拆除超过安全防护必要限度的围挡，保留依法必需部分并设置宽度、照明、警示符合规范的安全通道</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判决＋调解</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采取修复、加固措施，恢复房屋安全使用状态</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B</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需要责任主体、因果关系、设计、许可、工程范围和验收标准；仅诉科棚可能主体错位</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新政支持危险住房分类治理、修缮加固及闭环复核，是最有利部分</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保留但限定责任和程序；考虑追加开福棚改投</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在被告责任及因果关系范围内，对鉴定确定项目进行合法设计、修缮、加固和验收，使约定鉴定单元达到依法安全、正常使用状态</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判决在证据充分时；综合工程优先调解</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恢复至不低于此前B/Bsu</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C（目前）</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2023完整报告缺失；现有裁判只确认主体结构B级，评级体系和范围未证可比</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政策要求复核销号，但不解决技术可比性</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暂不作唯一诉请；取得报告后再决定</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经专家确认可比时，约定复核结果不低于2023年同标准、同对象、同范围的B级结论</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调解优先</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判令实施“一屋一策”/有机更新</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C</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属项目策划和行政管理，内容、主体、预算、审批不明</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新政明确精细化路径，但只提供政策方向</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不作直接判项，作为限期提交治理方案的调解目标</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由有职责和能力的主体在×日内完成现状调查、产权人协商并形成可报审的一屋一策治理方案</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调解</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判令原拆原建</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D</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前置条件最多；其他产权人和行政审批不可替代；历史街区限制严格</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政策“支持”不等于权利人有直接请求权</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删除直接判项，仅作附条件调解备选</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仅在修缮加固不可行且取得全套法定同意、审查、许可后，按约定实施主体、费用、过渡和登记条款执行</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6"/>
              </w:rPr>
              <w:t>调解</w:t>
            </w:r>
          </w:p>
        </w:tc>
      </w:tr>
      <w:tr>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判令被告收购或置换</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D（判决）/C（调解）</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无法定强制收购义务，价格及标的不确定</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“鼓励成片收购”使市场化和解具有政策正当性</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不请求判决；保留谈判底线</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按共同评估或约定价格实施现金收购、住房/商业物业置换、现金加物业组合</w:t>
            </w:r>
          </w:p>
        </w:tc>
        <w:tc>
          <w:tcPr>
            <w:tcW w:type="dxa" w:w="1393"/>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6"/>
              </w:rPr>
              <w:t>调解</w:t>
            </w:r>
          </w:p>
        </w:tc>
      </w:tr>
    </w:tbl>
    <w:p>
      <w:pPr>
        <w:spacing w:after="40"/>
      </w:pPr>
    </w:p>
    <w:p>
      <w:pPr>
        <w:pStyle w:val="Heading1"/>
      </w:pPr>
      <w:r>
        <w:rPr>
          <w:rFonts w:ascii="TsangerJinKai02" w:hAnsi="TsangerJinKai02" w:eastAsia="TsangerJinKai02"/>
          <w:b/>
          <w:color w:val="1B365D"/>
          <w:sz w:val="36"/>
        </w:rPr>
        <w:t>六、推荐版诉讼请求</w:t>
      </w:r>
    </w:p>
    <w:p>
      <w:r>
        <w:rPr>
          <w:rFonts w:ascii="Source Han Serif SC" w:hAnsi="Source Han Serif SC" w:eastAsia="Source Han Serif SC"/>
          <w:b w:val="0"/>
          <w:color w:val="242A30"/>
          <w:sz w:val="21"/>
        </w:rPr>
        <w:t>以下表述应在现场勘验、点位图和被告主体证据补齐后提交。方括号内容必须用证据替换，不能空泛留在正式文书中。</w:t>
      </w:r>
    </w:p>
    <w:p>
      <w:pPr>
        <w:pStyle w:val="Heading2"/>
      </w:pPr>
      <w:r>
        <w:rPr>
          <w:rFonts w:ascii="TsangerJinKai02" w:hAnsi="TsangerJinKai02" w:eastAsia="TsangerJinKai02"/>
          <w:b/>
          <w:color w:val="1B365D"/>
          <w:sz w:val="28"/>
        </w:rPr>
        <w:t>A. 建议正式请求法院判决</w:t>
      </w:r>
    </w:p>
    <w:p>
      <w:pPr>
        <w:pStyle w:val="ListNumber"/>
        <w:spacing w:after="60"/>
        <w:ind w:left="397" w:hanging="198"/>
      </w:pPr>
      <w:r>
        <w:rPr>
          <w:rFonts w:ascii="Source Han Serif SC" w:hAnsi="Source Han Serif SC" w:eastAsia="Source Han Serif SC"/>
          <w:b w:val="0"/>
          <w:color w:val="242A30"/>
          <w:sz w:val="21"/>
        </w:rPr>
        <w:t>判令被告立即停止对原告所有的长沙市开福区楠木厅巷12号东301房实施未经原告同意且无法律规定、行政决定或紧急避险依据的进入、钻孔、拆改及其他妨害行为；依法确需进入进行应急排险、鉴定或工程施工的，应提前合理通知原告，紧急情形除外，并采取损害最小措施。</w:t>
      </w:r>
    </w:p>
    <w:p>
      <w:pPr>
        <w:pStyle w:val="ListNumber"/>
        <w:spacing w:after="60"/>
        <w:ind w:left="397" w:hanging="198"/>
      </w:pPr>
      <w:r>
        <w:rPr>
          <w:rFonts w:ascii="Source Han Serif SC" w:hAnsi="Source Han Serif SC" w:eastAsia="Source Han Serif SC"/>
          <w:b w:val="0"/>
          <w:color w:val="242A30"/>
          <w:sz w:val="21"/>
        </w:rPr>
        <w:t>判令被告于判决生效之日起[15/30]日内，按照经审理确认的点位图和修复方案，修补东301房内[具体位置、数量、尺寸]钻孔，修复其实施或应由其负责的[具体门窗、墙体、楼板、管线]损坏，并恢复相应使用功能。</w:t>
      </w:r>
    </w:p>
    <w:p>
      <w:pPr>
        <w:pStyle w:val="ListNumber"/>
        <w:spacing w:after="60"/>
        <w:ind w:left="397" w:hanging="198"/>
      </w:pPr>
      <w:r>
        <w:rPr>
          <w:rFonts w:ascii="Source Han Serif SC" w:hAnsi="Source Han Serif SC" w:eastAsia="Source Han Serif SC"/>
          <w:b w:val="0"/>
          <w:color w:val="242A30"/>
          <w:sz w:val="21"/>
        </w:rPr>
        <w:t>判令被告于判决生效之日起[30]日内，清除附件现场图[编号]所示且经审理确认由其堆放、形成或控制的建筑垃圾；疏通、修复附件管线图[编号]所示且经审理确认因其行为受损或堵塞的排水设施，并通过连续通水试验。</w:t>
      </w:r>
    </w:p>
    <w:p>
      <w:pPr>
        <w:pStyle w:val="ListNumber"/>
        <w:spacing w:after="60"/>
        <w:ind w:left="397" w:hanging="198"/>
      </w:pPr>
      <w:r>
        <w:rPr>
          <w:rFonts w:ascii="Source Han Serif SC" w:hAnsi="Source Han Serif SC" w:eastAsia="Source Han Serif SC"/>
          <w:b w:val="0"/>
          <w:color w:val="242A30"/>
          <w:sz w:val="21"/>
        </w:rPr>
        <w:t>判令被告排除其设置、控制或应由其负责的通行妨害：对超过现实安全防护必要限度的围挡予以拆除或调整；确需保留防护的，应于[期限]内设置符合经审查安全方案的出入通道、照明和警示，保障原告在安全条件下合理到达东301房。</w:t>
      </w:r>
    </w:p>
    <w:p>
      <w:pPr>
        <w:pStyle w:val="ListNumber"/>
        <w:spacing w:after="60"/>
        <w:ind w:left="397" w:hanging="198"/>
      </w:pPr>
      <w:r>
        <w:rPr>
          <w:rFonts w:ascii="Source Han Serif SC" w:hAnsi="Source Han Serif SC" w:eastAsia="Source Han Serif SC"/>
          <w:b w:val="0"/>
          <w:color w:val="242A30"/>
          <w:sz w:val="21"/>
        </w:rPr>
        <w:t>经鉴定确认被告行为或其依法、依约承担的管理改造职责与涉案危险、损坏存在因果关系的，判令被告在相应责任范围内，于[方案确定后×日]内委托有资质单位完成设计、修缮、加固、施工验收和复核，使涉案房屋及其正常使用所必需的共有部位达到依法安全、正常使用状态；具体工程项目、范围和验收标准以法院确认的鉴定意见、修复方案及附件清单为准。</w:t>
      </w:r>
    </w:p>
    <w:p>
      <w:pPr>
        <w:pStyle w:val="ListNumber"/>
        <w:spacing w:after="60"/>
        <w:ind w:left="397" w:hanging="198"/>
      </w:pPr>
      <w:r>
        <w:rPr>
          <w:rFonts w:ascii="Source Han Serif SC" w:hAnsi="Source Han Serif SC" w:eastAsia="Source Han Serif SC"/>
          <w:b w:val="0"/>
          <w:color w:val="242A30"/>
          <w:sz w:val="21"/>
        </w:rPr>
        <w:t>判令被告承担本案诉讼费、保全费、鉴定费及其他依法应由其承担的费用。</w:t>
      </w:r>
    </w:p>
    <w:p>
      <w:pPr>
        <w:pStyle w:val="Heading2"/>
      </w:pPr>
      <w:r>
        <w:rPr>
          <w:rFonts w:ascii="TsangerJinKai02" w:hAnsi="TsangerJinKai02" w:eastAsia="TsangerJinKai02"/>
          <w:b/>
          <w:color w:val="1B365D"/>
          <w:sz w:val="28"/>
        </w:rPr>
        <w:t>B. 程序性申请</w:t>
      </w:r>
    </w:p>
    <w:p>
      <w:pPr>
        <w:pStyle w:val="ListNumber"/>
        <w:spacing w:after="60"/>
        <w:ind w:left="397" w:hanging="198"/>
      </w:pPr>
      <w:r>
        <w:rPr>
          <w:rFonts w:ascii="Source Han Serif SC" w:hAnsi="Source Han Serif SC" w:eastAsia="Source Han Serif SC"/>
          <w:b w:val="0"/>
          <w:color w:val="242A30"/>
          <w:sz w:val="21"/>
        </w:rPr>
        <w:t>对争议现场进行勘验并形成点位图、围挡图、排水图和垃圾清单。</w:t>
      </w:r>
    </w:p>
    <w:p>
      <w:pPr>
        <w:pStyle w:val="ListNumber"/>
        <w:spacing w:after="60"/>
        <w:ind w:left="397" w:hanging="198"/>
      </w:pPr>
      <w:r>
        <w:rPr>
          <w:rFonts w:ascii="Source Han Serif SC" w:hAnsi="Source Han Serif SC" w:eastAsia="Source Han Serif SC"/>
          <w:b w:val="0"/>
          <w:color w:val="242A30"/>
          <w:sz w:val="21"/>
        </w:rPr>
        <w:t>调取2022年C/Csu完整报告、2023年加固设计施工验收和完整复鉴报告、风险销号记录。</w:t>
      </w:r>
    </w:p>
    <w:p>
      <w:pPr>
        <w:pStyle w:val="ListNumber"/>
        <w:spacing w:after="60"/>
        <w:ind w:left="397" w:hanging="198"/>
      </w:pPr>
      <w:r>
        <w:rPr>
          <w:rFonts w:ascii="Source Han Serif SC" w:hAnsi="Source Han Serif SC" w:eastAsia="Source Han Serif SC"/>
          <w:b w:val="0"/>
          <w:color w:val="242A30"/>
          <w:sz w:val="21"/>
        </w:rPr>
        <w:t>调取科棚人员进场、鉴定、钻孔、围挡及收购协商的授权、委托、合同、报警记录和项目文件。</w:t>
      </w:r>
    </w:p>
    <w:p>
      <w:pPr>
        <w:pStyle w:val="ListNumber"/>
        <w:spacing w:after="60"/>
        <w:ind w:left="397" w:hanging="198"/>
      </w:pPr>
      <w:r>
        <w:rPr>
          <w:rFonts w:ascii="Source Han Serif SC" w:hAnsi="Source Han Serif SC" w:eastAsia="Source Han Serif SC"/>
          <w:b w:val="0"/>
          <w:color w:val="242A30"/>
          <w:sz w:val="21"/>
        </w:rPr>
        <w:t>若请求包含楼栋修缮、加固、排水、通行和复鉴，申请追加开福棚改投为共同被告或第三人；至少通知其参加调解。</w:t>
      </w:r>
    </w:p>
    <w:p>
      <w:pPr>
        <w:pStyle w:val="ListNumber"/>
        <w:spacing w:after="60"/>
        <w:ind w:left="397" w:hanging="198"/>
      </w:pPr>
      <w:r>
        <w:rPr>
          <w:rFonts w:ascii="Source Han Serif SC" w:hAnsi="Source Han Serif SC" w:eastAsia="Source Han Serif SC"/>
          <w:b w:val="0"/>
          <w:color w:val="242A30"/>
          <w:sz w:val="21"/>
        </w:rPr>
        <w:t>必要时进行妨害现状、损坏因果、修复方案和工程造价鉴定。优先“一次委托、分项结论”，避免重复鉴定。</w:t>
      </w:r>
    </w:p>
    <w:p>
      <w:pPr>
        <w:pStyle w:val="Heading2"/>
      </w:pPr>
      <w:r>
        <w:rPr>
          <w:rFonts w:ascii="TsangerJinKai02" w:hAnsi="TsangerJinKai02" w:eastAsia="TsangerJinKai02"/>
          <w:b/>
          <w:color w:val="1B365D"/>
          <w:sz w:val="28"/>
        </w:rPr>
        <w:t>C. 不建议直接判决、建议作为调解目标</w:t>
      </w:r>
    </w:p>
    <w:p>
      <w:pPr>
        <w:pStyle w:val="ListBullet"/>
        <w:spacing w:after="60"/>
        <w:ind w:left="397" w:hanging="198"/>
      </w:pPr>
      <w:r>
        <w:rPr>
          <w:rFonts w:ascii="Source Han Serif SC" w:hAnsi="Source Han Serif SC" w:eastAsia="Source Han Serif SC"/>
          <w:b w:val="0"/>
          <w:color w:val="242A30"/>
          <w:sz w:val="21"/>
        </w:rPr>
        <w:t>在60—90日内完成楠木厅12号“一屋一策／一房一策”综合治理方案；</w:t>
      </w:r>
    </w:p>
    <w:p>
      <w:pPr>
        <w:pStyle w:val="ListBullet"/>
        <w:spacing w:after="60"/>
        <w:ind w:left="397" w:hanging="198"/>
      </w:pPr>
      <w:r>
        <w:rPr>
          <w:rFonts w:ascii="Source Han Serif SC" w:hAnsi="Source Han Serif SC" w:eastAsia="Source Han Serif SC"/>
          <w:b w:val="0"/>
          <w:color w:val="242A30"/>
          <w:sz w:val="21"/>
        </w:rPr>
        <w:t>由开福棚改投或经确认的实际实施主体组织全楼修缮、加固、排水、通行、消防和保护修缮；</w:t>
      </w:r>
    </w:p>
    <w:p>
      <w:pPr>
        <w:pStyle w:val="ListBullet"/>
        <w:spacing w:after="60"/>
        <w:ind w:left="397" w:hanging="198"/>
      </w:pPr>
      <w:r>
        <w:rPr>
          <w:rFonts w:ascii="Source Han Serif SC" w:hAnsi="Source Han Serif SC" w:eastAsia="Source Han Serif SC"/>
          <w:b w:val="0"/>
          <w:color w:val="242A30"/>
          <w:sz w:val="21"/>
        </w:rPr>
        <w:t>经技术经济论证认定维修加固不合理、全体或法定多数产权人依法决定并取得历史街区保护及建设审批后，实施原拆原建；</w:t>
      </w:r>
    </w:p>
    <w:p>
      <w:pPr>
        <w:pStyle w:val="ListBullet"/>
        <w:spacing w:after="60"/>
        <w:ind w:left="397" w:hanging="198"/>
      </w:pPr>
      <w:r>
        <w:rPr>
          <w:rFonts w:ascii="Source Han Serif SC" w:hAnsi="Source Han Serif SC" w:eastAsia="Source Han Serif SC"/>
          <w:b w:val="0"/>
          <w:color w:val="242A30"/>
          <w:sz w:val="21"/>
        </w:rPr>
        <w:t>现金收购东301、住房产权置换、商业物业置换或现金加物业组合；</w:t>
      </w:r>
    </w:p>
    <w:p>
      <w:pPr>
        <w:pStyle w:val="ListBullet"/>
        <w:spacing w:after="60"/>
        <w:ind w:left="397" w:hanging="198"/>
      </w:pPr>
      <w:r>
        <w:rPr>
          <w:rFonts w:ascii="Source Han Serif SC" w:hAnsi="Source Han Serif SC" w:eastAsia="Source Han Serif SC"/>
          <w:b w:val="0"/>
          <w:color w:val="242A30"/>
          <w:sz w:val="21"/>
        </w:rPr>
        <w:t>对过渡安置、租金、搬迁、登记、税费、项目延误和违约责任作一揽子安排。</w:t>
      </w:r>
    </w:p>
    <w:p>
      <w:pPr>
        <w:pStyle w:val="Heading1"/>
      </w:pPr>
      <w:r>
        <w:rPr>
          <w:rFonts w:ascii="TsangerJinKai02" w:hAnsi="TsangerJinKai02" w:eastAsia="TsangerJinKai02"/>
          <w:b/>
          <w:color w:val="1B365D"/>
          <w:sz w:val="36"/>
        </w:rPr>
        <w:t>七、代理意见的推荐主线及边界</w:t>
      </w:r>
    </w:p>
    <w:p>
      <w:pPr>
        <w:pStyle w:val="Heading2"/>
      </w:pPr>
      <w:r>
        <w:rPr>
          <w:rFonts w:ascii="TsangerJinKai02" w:hAnsi="TsangerJinKai02" w:eastAsia="TsangerJinKai02"/>
          <w:b/>
          <w:color w:val="1B365D"/>
          <w:sz w:val="28"/>
        </w:rPr>
        <w:t>可以写进代理意见</w:t>
      </w:r>
    </w:p>
    <w:p>
      <w:pPr>
        <w:pStyle w:val="PullQuote"/>
        <w:pBdr>
          <w:left w:val="single" w:sz="18" w:space="10" w:color="A97732"/>
        </w:pBdr>
      </w:pPr>
      <w:r>
        <w:rPr>
          <w:rFonts w:ascii="TsangerJinKai02" w:hAnsi="TsangerJinKai02" w:eastAsia="TsangerJinKai02"/>
          <w:b w:val="0"/>
          <w:color w:val="1B365D"/>
          <w:sz w:val="22"/>
        </w:rPr>
        <w:t>本案并非要求民事法院决定城市更新规划，而是要求查明现实妨害及其责任。开福棚改投曾委托对楼栋进行C/Csu鉴定，随后又实施加固并形成主体结构B级结论。现行长沙房屋安全和城市更新政策均要求危险住房从排查、鉴定进入分类治理、复核和销号。若相关主体继续以房屋安全为由限制原告通行或使用，却不能提交完整的一房一策、工程验收、复鉴、销号和后续治理安排，则其防护措施的必要性、比例性、持续期限以及是否存在消极管理，均应由法院进一步查明。</w:t>
      </w:r>
    </w:p>
    <w:p>
      <w:pPr>
        <w:pStyle w:val="PullQuote"/>
        <w:pBdr>
          <w:left w:val="single" w:sz="18" w:space="10" w:color="A97732"/>
        </w:pBdr>
      </w:pPr>
      <w:r>
        <w:rPr>
          <w:rFonts w:ascii="TsangerJinKai02" w:hAnsi="TsangerJinKai02" w:eastAsia="TsangerJinKai02"/>
          <w:b w:val="0"/>
          <w:color w:val="1B365D"/>
          <w:sz w:val="22"/>
        </w:rPr>
        <w:t>原告请求的核心不是让法院指定“原拆原建”，而是停止未经授权的侵入和损坏，修复可归责的具体损害，并使基本排水、通行及房屋安全功能得到可检验的恢复。具体工程路径可以由责任主体依法选择，但不能以项目尚未完成为由无限期维持妨害状态。</w:t>
      </w:r>
    </w:p>
    <w:p>
      <w:pPr>
        <w:pStyle w:val="Heading2"/>
      </w:pPr>
      <w:r>
        <w:rPr>
          <w:rFonts w:ascii="TsangerJinKai02" w:hAnsi="TsangerJinKai02" w:eastAsia="TsangerJinKai02"/>
          <w:b/>
          <w:color w:val="1B365D"/>
          <w:sz w:val="28"/>
        </w:rPr>
        <w:t>只能用于调解或调查，不能当成既定权利</w:t>
      </w:r>
    </w:p>
    <w:p>
      <w:pPr>
        <w:pStyle w:val="ListBullet"/>
        <w:spacing w:after="60"/>
        <w:ind w:left="397" w:hanging="198"/>
      </w:pPr>
      <w:r>
        <w:rPr>
          <w:rFonts w:ascii="Source Han Serif SC" w:hAnsi="Source Han Serif SC" w:eastAsia="Source Han Serif SC"/>
          <w:b w:val="0"/>
          <w:color w:val="242A30"/>
          <w:sz w:val="21"/>
        </w:rPr>
        <w:t>“潮宗街已经更新，所以楠木厅12号必须同步更新”；</w:t>
      </w:r>
    </w:p>
    <w:p>
      <w:pPr>
        <w:pStyle w:val="ListBullet"/>
        <w:spacing w:after="60"/>
        <w:ind w:left="397" w:hanging="198"/>
      </w:pPr>
      <w:r>
        <w:rPr>
          <w:rFonts w:ascii="Source Han Serif SC" w:hAnsi="Source Han Serif SC" w:eastAsia="Source Han Serif SC"/>
          <w:b w:val="0"/>
          <w:color w:val="242A30"/>
          <w:sz w:val="21"/>
        </w:rPr>
        <w:t>“政策支持原拆原建，所以科棚必须原拆原建”；</w:t>
      </w:r>
    </w:p>
    <w:p>
      <w:pPr>
        <w:pStyle w:val="ListBullet"/>
        <w:spacing w:after="60"/>
        <w:ind w:left="397" w:hanging="198"/>
      </w:pPr>
      <w:r>
        <w:rPr>
          <w:rFonts w:ascii="Source Han Serif SC" w:hAnsi="Source Han Serif SC" w:eastAsia="Source Han Serif SC"/>
          <w:b w:val="0"/>
          <w:color w:val="242A30"/>
          <w:sz w:val="21"/>
        </w:rPr>
        <w:t>“鼓励收购，所以被告必须按原告报价收购”；</w:t>
      </w:r>
    </w:p>
    <w:p>
      <w:pPr>
        <w:pStyle w:val="ListBullet"/>
        <w:spacing w:after="60"/>
        <w:ind w:left="397" w:hanging="198"/>
      </w:pPr>
      <w:r>
        <w:rPr>
          <w:rFonts w:ascii="Source Han Serif SC" w:hAnsi="Source Han Serif SC" w:eastAsia="Source Han Serif SC"/>
          <w:b w:val="0"/>
          <w:color w:val="242A30"/>
          <w:sz w:val="21"/>
        </w:rPr>
        <w:t>“国企投资、民企运营，所以科棚就是法定更新义务人”；</w:t>
      </w:r>
    </w:p>
    <w:p>
      <w:pPr>
        <w:pStyle w:val="ListBullet"/>
        <w:spacing w:after="60"/>
        <w:ind w:left="397" w:hanging="198"/>
      </w:pPr>
      <w:r>
        <w:rPr>
          <w:rFonts w:ascii="Source Han Serif SC" w:hAnsi="Source Han Serif SC" w:eastAsia="Source Han Serif SC"/>
          <w:b w:val="0"/>
          <w:color w:val="242A30"/>
          <w:sz w:val="21"/>
        </w:rPr>
        <w:t>“2026年采购覆盖潮宗街，所以一定包含12号”；</w:t>
      </w:r>
    </w:p>
    <w:p>
      <w:pPr>
        <w:pStyle w:val="ListBullet"/>
        <w:spacing w:after="60"/>
        <w:ind w:left="397" w:hanging="198"/>
      </w:pPr>
      <w:r>
        <w:rPr>
          <w:rFonts w:ascii="Source Han Serif SC" w:hAnsi="Source Han Serif SC" w:eastAsia="Source Han Serif SC"/>
          <w:b w:val="0"/>
          <w:color w:val="242A30"/>
          <w:sz w:val="21"/>
        </w:rPr>
        <w:t>“一屋一策”意味着政府已经为12号制作了方案。</w:t>
      </w:r>
    </w:p>
    <w:p>
      <w:pPr>
        <w:pStyle w:val="Heading1"/>
      </w:pPr>
      <w:r>
        <w:rPr>
          <w:rFonts w:ascii="TsangerJinKai02" w:hAnsi="TsangerJinKai02" w:eastAsia="TsangerJinKai02"/>
          <w:b/>
          <w:color w:val="1B365D"/>
          <w:sz w:val="36"/>
        </w:rPr>
        <w:t>八、开庭前优先动作</w:t>
      </w:r>
    </w:p>
    <w:p>
      <w:pPr>
        <w:pStyle w:val="ListNumber"/>
        <w:spacing w:after="60"/>
        <w:ind w:left="397" w:hanging="198"/>
      </w:pPr>
      <w:r>
        <w:rPr>
          <w:rFonts w:ascii="Source Han Serif SC" w:hAnsi="Source Han Serif SC" w:eastAsia="Source Han Serif SC"/>
          <w:b w:val="0"/>
          <w:color w:val="242A30"/>
          <w:sz w:val="21"/>
        </w:rPr>
        <w:t>将每个诉请与证据逐项绑定：主体证据、行为证据、点位证据、损害证据、因果证据、修复标准。</w:t>
      </w:r>
    </w:p>
    <w:p>
      <w:pPr>
        <w:pStyle w:val="ListNumber"/>
        <w:spacing w:after="60"/>
        <w:ind w:left="397" w:hanging="198"/>
      </w:pPr>
      <w:r>
        <w:rPr>
          <w:rFonts w:ascii="Source Han Serif SC" w:hAnsi="Source Han Serif SC" w:eastAsia="Source Han Serif SC"/>
          <w:b w:val="0"/>
          <w:color w:val="242A30"/>
          <w:sz w:val="21"/>
        </w:rPr>
        <w:t>携带一页“2022 C/Csu—2023加固—主体结构B—当前状态待查”的时间线，主动纠正“先B后C”的错误叙述。</w:t>
      </w:r>
    </w:p>
    <w:p>
      <w:pPr>
        <w:pStyle w:val="ListNumber"/>
        <w:spacing w:after="60"/>
        <w:ind w:left="397" w:hanging="198"/>
      </w:pPr>
      <w:r>
        <w:rPr>
          <w:rFonts w:ascii="Source Han Serif SC" w:hAnsi="Source Han Serif SC" w:eastAsia="Source Han Serif SC"/>
          <w:b w:val="0"/>
          <w:color w:val="242A30"/>
          <w:sz w:val="21"/>
        </w:rPr>
        <w:t>申请现场勘验；没有点位图，垃圾、排水、围挡和钻孔请求都容易失去执行性。</w:t>
      </w:r>
    </w:p>
    <w:p>
      <w:pPr>
        <w:pStyle w:val="ListNumber"/>
        <w:spacing w:after="60"/>
        <w:ind w:left="397" w:hanging="198"/>
      </w:pPr>
      <w:r>
        <w:rPr>
          <w:rFonts w:ascii="Source Han Serif SC" w:hAnsi="Source Han Serif SC" w:eastAsia="Source Han Serif SC"/>
          <w:b w:val="0"/>
          <w:color w:val="242A30"/>
          <w:sz w:val="21"/>
        </w:rPr>
        <w:t>对宽泛第五项诉请作主次安排：法院若认为主体或技术证据不足，请求先支持前四项，不因第五项部分不成立而整体驳回。</w:t>
      </w:r>
    </w:p>
    <w:p>
      <w:pPr>
        <w:pStyle w:val="ListNumber"/>
        <w:spacing w:after="60"/>
        <w:ind w:left="397" w:hanging="198"/>
      </w:pPr>
      <w:r>
        <w:rPr>
          <w:rFonts w:ascii="Source Han Serif SC" w:hAnsi="Source Han Serif SC" w:eastAsia="Source Han Serif SC"/>
          <w:b w:val="0"/>
          <w:color w:val="242A30"/>
          <w:sz w:val="21"/>
        </w:rPr>
        <w:t>明确提出：原告愿意在不放弃产权和责任主张的前提下，就修缮加固复鉴、一房一策、附条件原拆原建、收购置换进入分档调解。</w:t>
      </w:r>
    </w:p>
    <w:p>
      <w:pPr>
        <w:spacing w:before="80" w:after="120"/>
        <w:pBdr>
          <w:bottom w:val="single" w:sz="8" w:space="1" w:color="A97732"/>
        </w:pBdr>
      </w:pPr>
    </w:p>
    <w:p>
      <w:r>
        <w:rPr>
          <w:rFonts w:ascii="Source Han Serif SC" w:hAnsi="Source Han Serif SC" w:eastAsia="Source Han Serif SC"/>
          <w:b/>
          <w:color w:val="1B365D"/>
          <w:sz w:val="21"/>
        </w:rPr>
        <w:t>最终判断：</w:t>
      </w:r>
      <w:r>
        <w:rPr>
          <w:rFonts w:ascii="Source Han Serif SC" w:hAnsi="Source Han Serif SC" w:eastAsia="Source Han Serif SC"/>
          <w:b w:val="0"/>
          <w:color w:val="242A30"/>
          <w:sz w:val="21"/>
        </w:rPr>
        <w:t>把“恢复原状”写得更大不会提高胜率；把妨害拆成点位、功能、责任和验收，才会提高判决可接受性与执行力。城市更新政策应当扩充调解工具箱，而不是膨胀民事请求权。</w:t>
      </w:r>
    </w:p>
    <w:sectPr w:rsidR="00FC693F" w:rsidRPr="0006063C" w:rsidSect="00034616">
      <w:headerReference w:type="default" r:id="rId9"/>
      <w:footerReference w:type="default" r:id="rId10"/>
      <w:pgSz w:w="11906" w:h="16838"/>
      <w:pgMar w:top="1077" w:right="1020" w:bottom="96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b w:val="0"/>
        <w:color w:val="66717B"/>
        <w:sz w:val="16"/>
      </w:rPr>
      <w:t xml:space="preserve">2026.08.13  ·  </w:t>
    </w:r>
    <w:r>
      <w:rPr>
        <w:rFonts w:ascii="Source Han Sans SC" w:hAnsi="Source Han Sans SC" w:eastAsia="Source Han Sans SC"/>
        <w:b w:val="0"/>
        <w:color w:val="66717B"/>
        <w:sz w:val="16"/>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5" w:space="5" w:color="B4AD9B"/>
      </w:pBdr>
    </w:pPr>
    <w:r>
      <w:rPr>
        <w:rFonts w:ascii="Source Han Sans SC" w:hAnsi="Source Han Sans SC" w:eastAsia="Source Han Sans SC"/>
        <w:b w:val="0"/>
        <w:color w:val="66717B"/>
        <w:sz w:val="16"/>
      </w:rPr>
      <w:t>楠木厅12号案 · 城市更新政策专题</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48" w:lineRule="auto" w:after="100"/>
    </w:pPr>
    <w:rPr>
      <w:rFonts w:ascii="Source Han Serif SC" w:hAnsi="Source Han Serif SC" w:eastAsia="Source Han Serif SC"/>
      <w:color w:val="242A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180"/>
      <w:outlineLvl w:val="0"/>
    </w:pPr>
    <w:rPr>
      <w:rFonts w:asciiTheme="majorHAnsi" w:eastAsiaTheme="majorEastAsia" w:hAnsiTheme="majorHAnsi" w:cstheme="majorBidi" w:ascii="TsangerJinKai02" w:hAnsi="TsangerJinKai02" w:eastAsia="TsangerJinKai02"/>
      <w:b/>
      <w:bCs/>
      <w:color w:val="1B365D"/>
      <w:sz w:val="36"/>
      <w:szCs w:val="28"/>
    </w:rPr>
  </w:style>
  <w:style w:type="paragraph" w:styleId="Heading2">
    <w:name w:val="heading 2"/>
    <w:basedOn w:val="Normal"/>
    <w:next w:val="Normal"/>
    <w:link w:val="Heading2Char"/>
    <w:uiPriority w:val="9"/>
    <w:unhideWhenUsed/>
    <w:qFormat/>
    <w:rsid w:val="00FC693F"/>
    <w:pPr>
      <w:keepNext/>
      <w:keepLines/>
      <w:widowControl/>
      <w:spacing w:before="280" w:after="120"/>
      <w:outlineLvl w:val="1"/>
    </w:pPr>
    <w:rPr>
      <w:rFonts w:asciiTheme="majorHAnsi" w:eastAsiaTheme="majorEastAsia" w:hAnsiTheme="majorHAnsi" w:cstheme="majorBidi" w:ascii="TsangerJinKai02" w:hAnsi="TsangerJinKai02" w:eastAsia="TsangerJinKai02"/>
      <w:b/>
      <w:bCs/>
      <w:color w:val="1B365D"/>
      <w:sz w:val="28"/>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Source Han Sans SC" w:hAnsi="Source Han Sans SC" w:eastAsia="Source Han Sans SC"/>
      <w:b/>
      <w:bCs/>
      <w:color w:val="284F7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ullQuote">
    <w:name w:val="Pull Quote"/>
    <w:pPr>
      <w:spacing w:before="100" w:after="140"/>
      <w:ind w:left="397" w:right="283"/>
    </w:pPr>
    <w:rPr>
      <w:rFonts w:ascii="TsangerJinKai02" w:hAnsi="TsangerJinKai02" w:eastAsia="TsangerJinKai02"/>
      <w:color w:val="1B365D"/>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基于最新城市更新政策的诉讼请求评估</dc:title>
  <dc:subject>楠木厅12号排除妨害案 · 长沙城市更新政策专题研究</dc:subject>
  <dc:creator>诉讼专题研究工作稿</dc:creator>
  <cp:keywords>长沙城市更新, 楠木厅12号, 排除妨害, 危旧房, 潮宗街</cp:keywords>
  <dc:description>研究基准日：2026年8月13日</dc:description>
  <cp:lastModifiedBy/>
  <cp:revision>1</cp:revision>
  <dcterms:created xsi:type="dcterms:W3CDTF">2013-12-23T23:15:00Z</dcterms:created>
  <dcterms:modified xsi:type="dcterms:W3CDTF">2013-12-23T23:15:00Z</dcterms:modified>
  <cp:category/>
</cp:coreProperties>
</file>