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/>
        <w:jc w:val="left"/>
      </w:pPr>
      <w:r>
        <w:rPr>
          <w:rFonts w:ascii="Source Han Sans SC" w:hAnsi="Source Han Sans SC" w:eastAsia="Source Han Sans SC"/>
          <w:b/>
          <w:color w:val="A97732"/>
          <w:sz w:val="20"/>
        </w:rPr>
        <w:t>专题研究</w:t>
      </w:r>
    </w:p>
    <w:p>
      <w:pPr>
        <w:spacing w:before="400" w:after="360"/>
      </w:pPr>
      <w:r>
        <w:rPr>
          <w:rFonts w:ascii="TsangerJinKai02" w:hAnsi="TsangerJinKai02" w:eastAsia="TsangerJinKai02"/>
          <w:b/>
          <w:color w:val="1B365D"/>
          <w:sz w:val="54"/>
        </w:rPr>
        <w:t>城市更新政策证据与调查取证清单</w:t>
      </w:r>
    </w:p>
    <w:p>
      <w:pPr>
        <w:spacing w:after="800"/>
      </w:pPr>
      <w:r>
        <w:rPr>
          <w:rFonts w:ascii="Source Han Sans SC" w:hAnsi="Source Han Sans SC" w:eastAsia="Source Han Sans SC"/>
          <w:b w:val="0"/>
          <w:color w:val="284F76"/>
          <w:sz w:val="24"/>
        </w:rPr>
        <w:t>信息公开 · 法院调查 · 举证路线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8787"/>
      </w:tblGrid>
      <w:tr>
        <w:tc>
          <w:tcPr>
            <w:tcW w:type="dxa" w:w="9752"/>
            <w:shd w:fill="1B365D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40"/>
            </w:pPr>
            <w:r>
              <w:rPr>
                <w:rFonts w:ascii="Source Han Sans SC" w:hAnsi="Source Han Sans SC" w:eastAsia="Source Han Sans SC"/>
                <w:b/>
                <w:color w:val="FFFFFF"/>
                <w:sz w:val="22"/>
              </w:rPr>
              <w:t>李运芳诉长沙科棚潮宗街商业管理有限公司</w:t>
            </w:r>
          </w:p>
          <w:p>
            <w:pPr>
              <w:spacing w:after="40"/>
            </w:pPr>
            <w:r>
              <w:rPr>
                <w:rFonts w:ascii="Source Han Sans SC" w:hAnsi="Source Han Sans SC" w:eastAsia="Source Han Sans SC"/>
                <w:b w:val="0"/>
                <w:color w:val="FFFFFF"/>
                <w:sz w:val="20"/>
              </w:rPr>
              <w:t>排除妨害纠纷 · 楠木厅巷12号东301房及所在楼栋</w:t>
            </w:r>
          </w:p>
        </w:tc>
      </w:tr>
    </w:tbl>
    <w:p>
      <w:pPr>
        <w:spacing w:before="1600"/>
      </w:pPr>
      <w:r>
        <w:rPr>
          <w:rFonts w:ascii="Source Han Sans SC" w:hAnsi="Source Han Sans SC" w:eastAsia="Source Han Sans SC"/>
          <w:b/>
          <w:color w:val="66717B"/>
          <w:sz w:val="18"/>
        </w:rPr>
        <w:t>研究基准日</w:t>
      </w:r>
      <w:r>
        <w:br/>
      </w:r>
      <w:r>
        <w:rPr>
          <w:rFonts w:ascii="TsangerJinKai02" w:hAnsi="TsangerJinKai02" w:eastAsia="TsangerJinKai02"/>
          <w:b/>
          <w:color w:val="1B365D"/>
          <w:sz w:val="28"/>
        </w:rPr>
        <w:t>2026年8月13日</w:t>
      </w:r>
    </w:p>
    <w:p>
      <w:pPr>
        <w:spacing w:before="280"/>
      </w:pPr>
      <w:r>
        <w:rPr>
          <w:rFonts w:ascii="Source Han Sans SC" w:hAnsi="Source Han Sans SC" w:eastAsia="Source Han Sans SC"/>
          <w:b w:val="0"/>
          <w:color w:val="66717B"/>
          <w:sz w:val="17"/>
        </w:rPr>
        <w:t>文件定位：诉讼策略研究 · 非鉴定意见 · 非个案裁判结论</w:t>
      </w:r>
    </w:p>
    <w:p>
      <w:r>
        <w:br w:type="page"/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楠木厅12号排除妨害案</w:t>
      </w:r>
    </w:p>
    <w:p>
      <w:r>
        <w:rPr>
          <w:rFonts w:ascii="Source Han Sans SC" w:hAnsi="Source Han Sans SC" w:eastAsia="Source Han Sans SC"/>
          <w:b/>
          <w:color w:val="284F76"/>
          <w:sz w:val="19"/>
        </w:rPr>
        <w:t>清单基准日：2026年8月13日</w:t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一、取证目标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本轮取证不是为了证明“政策支持，所以科棚必须更新”，而是回答八个可裁判或可调解的问题：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科棚进场、鉴定、钻孔、围挡和清理的权限来自何处；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具体妨害行为由谁实施、谁指示、谁受益、谁持续控制；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2022年C/Csu发现了什么，2023年加固修了什么，复鉴B级究竟覆盖什么；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楠木厅12号当前是否仍有危险，围挡是否必要、是否过度、是否有替代通道；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2023年“一房一策”是否形成、是否实施、是否复核销号；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12号是否纳入2026—2030城市更新项目库、潮宗街项目或2026房屋鉴定采购；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开福棚改投、北城资产、科棚和街道分别是什么角色，谁有实际履行能力；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修缮加固、一屋一策、原拆原建或收购置换中，哪条路径具有事实和程序基础。</w:t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二、最值得取得的资料总表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5"/>
        <w:gridCol w:w="1625"/>
        <w:gridCol w:w="1625"/>
        <w:gridCol w:w="1625"/>
        <w:gridCol w:w="1625"/>
        <w:gridCol w:w="1625"/>
      </w:tblGrid>
      <w:tr>
        <w:trPr>
          <w:tblHeader w:val="true"/>
        </w:trP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1B365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1B365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/>
                <w:color w:val="FFFFFF"/>
                <w:sz w:val="16"/>
              </w:rPr>
              <w:t>资料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1B365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/>
                <w:color w:val="FFFFFF"/>
                <w:sz w:val="16"/>
              </w:rPr>
              <w:t>关键内容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1B365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/>
                <w:color w:val="FFFFFF"/>
                <w:sz w:val="16"/>
              </w:rPr>
              <w:t>首选取得方式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1B365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/>
                <w:color w:val="FFFFFF"/>
                <w:sz w:val="16"/>
              </w:rPr>
              <w:t>备选方式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1B365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/>
                <w:color w:val="FFFFFF"/>
                <w:sz w:val="16"/>
              </w:rPr>
              <w:t>主要证明目的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潮宗街片区城市更新策划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法定范围、目标、更新单元、建筑分类、主体、时序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政府信息公开：长沙市人居环境局、开福区政府/住建局、资规部门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法院调查；自行查规划公示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12号是否在片区策划及其更新类型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2026—2030城市更新项目库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项目名称、编码、边界、投资、实施主体、年度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政府信息公开：市人居环境局、市发改/财政、开福区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是否入库；入库不等于已获全部审批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3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楠木厅12号入库记录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地块坐标、楼栋清单、项目编码、状态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政府信息公开：开福区政府、项目主管部门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直接回答“是否纳入”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4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“一屋一策／一房一策／一楼一策”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现状、责任人、治理方式、资金、期限、审批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政府信息公开：通泰街街道、开福区住建局；要求开福棚改投提交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2023督办是否落实；2026方案是否存在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5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危旧住房治理清单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C/D级名册、责任单位、处置类型、销号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政府信息公开：开福区住建局、街道、市人居环境局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12号治理状态和责任主体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6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房屋体检资料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体检指标、数据、问题、风险等级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政府信息公开；涉及个人/安全敏感部分申请作区分处理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政策闭环的起点及当前状态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7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风险问题清单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结构、消防、排水、通行、围护等问题及点位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政府信息公开；要求实施主体提交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现场勘验、鉴定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将抽象危险变成可治理项目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8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问题闭环处置记录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派单、责任人、措施、期限、复核、销号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政府信息公开：区政府、街道、住建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是否长期停在“鉴定—围挡”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9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楠木厅12号治理责任主体文件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区政府决定、任务书、委托、会议纪要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政府信息公开；要求开福棚改投提交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区分所有权、管理、项目实施、运营责任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10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项目实施主体确认文件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授权范围、项目公司、报批建设权限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政府信息公开；要求被告及开福棚改投提交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谁能履行全楼工程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11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资金安排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财政补助、国企投资、业主出资、专项资金申报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政府信息公开：财政、住建、人居；国企信息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法院调查；要求主体提交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方案是否可实际履行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12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修缮、加固设计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2023设计图、计算书、工程量、变更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法院调查施工/设计单位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加固范围、是否涉及东301、是否修复取样孔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13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原拆原建论证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技术经济比选、产权人意见、保护评估、规划预审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政府信息公开；要求实施主体提交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是否真实论证，而非诉讼口号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14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尚未实施原因说明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权属争议、资金、规划、审批、业主意见、项目终止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政府信息公开；法院询问并制作笔录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要求主体书面说明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检验“等待处置”的合理性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15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开福棚改投具体职责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2015文件、生效裁判、委托、年度任务、资产管理边界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现有裁判原件＋政府信息公开＋要求其提交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追加及履行能力依据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16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科棚合同、委托和运营职责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与国企/街道/北城资产的合同、授权、付款、人员名单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要求科棚提交；法院调查合同相对方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自行搜集工商、招投标、宣传；报警记录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证明主体适格，防止以新闻模式替代合同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17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2026房屋鉴定采购逐栋清单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83,764.06㎡对应地址、栋号、面积、工作计划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政府信息公开：北城资产/开福城投、采购主管部门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法院调查；要求采购人/中标人提交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判断12号是否包含在采购中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18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2026鉴定后的治理措施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报告、问题整改方案、派单、预算、进度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政府信息公开；法院调查采购人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要求实施主体提交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判断是否形成新的“鉴定—治理”闭环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19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2022年C/Csu完整报告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原始记录、照片、计算、构件等级、面积和建议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现有证据原件；要求开福棚改投/同宇提交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法院调查鉴定机构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准确确定C/Csu范围和局限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2023年加固与复鉴全套资料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合同、设计、施工、监理、验收、检测、完整报告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法院调查湘力、施工方、街道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纠正“B/Bsu”表述，判断历史基准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21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危房风险销号记录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销号申请、复核、系统截图、后续巡查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政府信息公开：开福区住建、街道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2023治理是否闭环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22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当前围挡决定与巡查记录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设置人、法律依据、范围、期限、复核、替代通道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政府信息公开；要求科棚/开福棚改投提交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现场勘验、报警记录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围挡必要性与比例性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23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征收、收购、注销、终止全套资料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征收决定、终止、已收购户、留存产权、产权登记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政府信息公开；不动产档案；法院调查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原告持有材料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证明产权延续和项目终止后法律状态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24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现场现状证据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钻孔、裂缝、排水、垃圾、通道、门窗、围挡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自行公证/时间戳取证＋申请法院勘验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共同现状确认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每一诉请的点位和可执行性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25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报警、接处警和询问记录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谁主张鉴定权、谁到场、谁指挥、原告是否反对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申请法院调查公安机关；原告依法查询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要求科棚提交其持有副本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固定科棚自述权限和实际参与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26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人员身份和授权链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潘某等人员劳动/委托关系、授权期限和事项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要求科棚、开福棚改投提交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法院调查；自行搜集聊天、名片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防止把个人行为无证据归责公司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27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垃圾清理和城投协调记录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谁联系、谁付款、清了什么、是否承认管理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要求科棚和城投提交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法院调查；聊天、照片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5F4ED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证明控制和履行可能；避免过度解释调解行为</w:t>
            </w:r>
          </w:p>
        </w:tc>
      </w:tr>
      <w:tr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28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历史文化街区法定范围和建筑身份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12号坐标、核心/建设控制地带、历史建筑/传统风貌身份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政府信息公开：资规、文旅/文物、人居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法院调查；公开规划图叠加</w:t>
            </w:r>
          </w:p>
        </w:tc>
        <w:tc>
          <w:tcPr>
            <w:tcW w:type="dxa" w:w="16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C9C5B8"/>
              <w:start w:val="single" w:sz="5" w:color="C9C5B8"/>
              <w:bottom w:val="single" w:sz="5" w:color="C9C5B8"/>
              <w:end w:val="single" w:sz="5" w:color="C9C5B8"/>
              <w:insideH w:val="single" w:sz="5" w:color="C9C5B8"/>
              <w:insideV w:val="single" w:sz="5" w:color="C9C5B8"/>
            </w:tcBorders>
            <w:vAlign w:val="center"/>
            <w:shd w:fill="FFFFFF"/>
          </w:tcPr>
          <w:p>
            <w:pPr>
              <w:spacing w:after="0" w:line="288" w:lineRule="auto"/>
            </w:pPr>
            <w:r>
              <w:rPr>
                <w:rFonts w:ascii="Source Han Sans SC" w:hAnsi="Source Han Sans SC" w:eastAsia="Source Han Sans SC"/>
                <w:b w:val="0"/>
                <w:color w:val="242A30"/>
                <w:sz w:val="16"/>
              </w:rPr>
              <w:t>决定修缮、拆除、原拆原建限制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三、四类取证路径的具体写法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（一）政府信息公开申请</w:t>
      </w:r>
    </w:p>
    <w:p>
      <w:pPr>
        <w:pStyle w:val="Heading3"/>
      </w:pPr>
      <w:r>
        <w:rPr>
          <w:rFonts w:ascii="Source Han Sans SC" w:hAnsi="Source Han Sans SC" w:eastAsia="Source Han Sans SC"/>
          <w:b/>
          <w:color w:val="284F76"/>
          <w:sz w:val="23"/>
        </w:rPr>
        <w:t>1. 向长沙市人居环境局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申请公开：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《长沙市城市更新专项规划（2026—2030年）》是否已经批准；如已批准，公开正式文本、批复和项目库；如未批准，说明当前状态。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潮宗街片区策划、更新单元边界、项目清单、实施方案批复及年度计划。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楠木厅巷12号是否纳入城市更新项目库；如纳入，项目编码、项目名称、实施主体、年度、状态。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楠木厅12号房屋体检问题、闭环处置和风险销号中可公开部分。</w:t>
      </w:r>
    </w:p>
    <w:p>
      <w:r>
        <w:rPr>
          <w:rFonts w:ascii="Source Han Serif SC" w:hAnsi="Source Han Serif SC" w:eastAsia="Source Han Serif SC"/>
          <w:b/>
          <w:color w:val="1B365D"/>
          <w:sz w:val="21"/>
        </w:rPr>
        <w:t>注意：</w:t>
      </w:r>
      <w:r>
        <w:rPr>
          <w:rFonts w:ascii="Source Han Serif SC" w:hAnsi="Source Han Serif SC" w:eastAsia="Source Han Serif SC"/>
          <w:b w:val="0"/>
          <w:color w:val="242A30"/>
          <w:sz w:val="21"/>
        </w:rPr>
        <w:t>申请要指向已制作或获取的信息，不能要求机关为申请人重新分析“为什么不更新”。对原因可申请公开既有会议纪要、请示、批复、进度报告和问题台账。</w:t>
      </w:r>
    </w:p>
    <w:p>
      <w:pPr>
        <w:pStyle w:val="Heading3"/>
      </w:pPr>
      <w:r>
        <w:rPr>
          <w:rFonts w:ascii="Source Han Sans SC" w:hAnsi="Source Han Sans SC" w:eastAsia="Source Han Sans SC"/>
          <w:b/>
          <w:color w:val="284F76"/>
          <w:sz w:val="23"/>
        </w:rPr>
        <w:t>2. 向开福区人民政府、开福区住建局/人居部门、通泰街街道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申请公开：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2023年针对楠木厅12号的“一房一策”处置计划及落实、复核、销号材料；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C/D级危旧住房治理台账中12号的记录、责任单位、治理方式、资金、期限；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2023年6月7日致开福棚改投函及回函、处理结果；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当前围挡、防护、巡查和后续治理方案；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对楠木厅12号治理的会议纪要、交办、督办和进度报告；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12号是否因征收终止、产权遗留、业主意见、资金或规划原因暂缓的既有文件。</w:t>
      </w:r>
    </w:p>
    <w:p>
      <w:pPr>
        <w:pStyle w:val="Heading3"/>
      </w:pPr>
      <w:r>
        <w:rPr>
          <w:rFonts w:ascii="Source Han Sans SC" w:hAnsi="Source Han Sans SC" w:eastAsia="Source Han Sans SC"/>
          <w:b/>
          <w:color w:val="284F76"/>
          <w:sz w:val="23"/>
        </w:rPr>
        <w:t>3. 向长沙市自然资源和规划部门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申请公开：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潮宗街历史文化街区法定保护范围图、核心保护范围、建设控制地带；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楠木厅12号地块落点、建筑保护身份和适用控制要求；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涉及12号的规划条件、修缮改建/拆除重建申请、审查意见和许可；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已公开的历史文化街区保护规划相关图则。</w:t>
      </w:r>
    </w:p>
    <w:p>
      <w:pPr>
        <w:pStyle w:val="Heading3"/>
      </w:pPr>
      <w:r>
        <w:rPr>
          <w:rFonts w:ascii="Source Han Sans SC" w:hAnsi="Source Han Sans SC" w:eastAsia="Source Han Sans SC"/>
          <w:b/>
          <w:color w:val="284F76"/>
          <w:sz w:val="23"/>
        </w:rPr>
        <w:t>4. 向北城资产、开福城投或采购监管部门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申请公开2026年潮宗街片区房屋鉴定采购的成交公告、合同中可公开部分、逐栋工作清单、进度、成果验收及整改问题清单。若国企不属于政府信息公开法上的行政机关，可以依据国资公开规则申请，或转为法院调查和要求合同当事人提交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（二）申请法院调查收集证据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适用于当事人因客观原因不能自行取得、由公安机关、行政机关、国企或鉴定施工单位控制，且与被告适格、因果关系和诉请执行性直接相关的材料。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申请书应逐项说明：证据名称、持有人、地址或联系方式、证明目的、无法自行取得的原因、与争点的关联。不要一次笼统申请“调取潮宗街全部资料”。优先级如下：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公安接处警、执法记录仪、询问笔录；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科棚与开福棚改投/北城资产之间的授权和项目合同；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2022、2023鉴定加固全套原始资料；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2023“一房一策”、治理、验收和销号；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2026鉴定采购逐栋清单中是否包含12号；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当前围挡和后续治理决定。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（三）要求被告或第三人提交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对科棚重点要求：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进场、鉴定、钻孔、围挡的授权依据；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参与人员身份、任务、工作记录；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与潘某、鉴定机构、开福棚改投、北城资产、城投和街道的合同、委托及通信；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钻孔位置、取样目的、修补记录；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起诉后垃圾清理协调记录；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其声称有权管理或运营楼栋的全部依据。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对开福棚改投重点要求：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2015年至今的管理、改造任务文件；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2022鉴定委托合同、付款和完整报告；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2023加固项目设计、施工、付款、验收、复鉴、销号；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收到街道“一房一策”函后的方案和回复；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与科棚、北城资产等主体的职责分工；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当前治理方案、项目入库和资金情况。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可以请法院依据证据控制规则责令提交；若对方无正当理由拒不提交其控制的关键书证，申请法院依法评价证明妨碍。但不能把“拒交”自动等同于原告所有主张成立。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（四）原告可自行搜集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不动产权证书、登记簿、历史权属和征收终止材料；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按固定线路拍摄的高清现状视频，包含日期、空间关系和尺度参照；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钻孔、裂缝、垃圾、排水、围挡和通道的编号照片及平面图；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与科棚、潘某、开福棚改投、街道的聊天、短信、录音原件及导出记录；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每次受阻、渗漏、堵塞、垃圾回流、无法通行的事件日志；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维修报价、临时支出、鉴定费、交通或替代居住损失凭证；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官方网站政策、采购公告和新闻的网页存证。新闻只能证明公开表述，不证明合同职责；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申请公证或可信时间戳固定重要网页和现场证据。</w:t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四、鉴定证据的专项核查表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1. 2022年C/Csu报告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核查并质证：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委托人开福棚改投的委托权限和鉴定目的；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“新编227号楼”与楠木厅12号的对应依据；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报告1585㎡与行政材料1336.04㎡差异；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检测范围是否包括东301、哪些位置钻孔取样；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GB 50292—2015下地基基础Bu、上部和围护等级的计算与原始数据；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地基未开挖、依据上部反应判断的局限；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门窗拆除等问题由谁造成；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报告建议为加固设计前提而非施工图；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C/Csu结论与临时防护、后续治理的关系。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2. 2023年加固后报告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必须取得完整文本后再回答：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鉴定机构全称、资质、委托人、检测日期；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使用标准与2022年是否相同；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是整栋、主体结构、局部构件还是加固项目质量鉴定；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是否评价地基、上部、围护、使用性；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裁判所称“主体结构B级”是否来自报告原文；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是否出现Bsu，若有，属于哪个层级和鉴定单元；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是否包含排水、消防、通行、门窗等正常使用功能；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是否形成政府风险销号。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3. 是否可把B/Bsu作为历史基准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只有以下条件同时满足才可用于刚性对比：同一房屋、同一鉴定单元、同一标准或有合法换算、同一检测范围、相近方法、明确的加固后状态、无重大后续改变。现阶段上述条件未全部证明，故B级只能作为历史辅助事实。</w:t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五、查明“12号为什么没有正常更新治理”的问题树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情形一：已纳入项目但未实施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需要取得入库、实施方案、资金和进度材料。重点追问：卡在产权人意见、保护审批、预算、施工条件还是实施主体；有无阶段性安全措施和时间表。纳入不实施不当然构成民事侵权，但可能影响管理责任和调解期限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情形二：没有纳入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需要取得项目边界、筛选标准和未纳入记录。重点追问：是否因不属重点片区、单体风险等级、产权分散、已另列危房治理或项目批次。未纳入城市更新项目也不消灭基本房屋安全治理义务。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情形三：单独危房处置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调取2023“一房一策”、加固、复鉴和销号，判断是否已经处置完毕；若已销号，当前妨害需另查原因；若未销号，查当前责任人、临时防护和治理期限。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情形四：征收或产权遗留问题暂缓</w:t>
      </w:r>
    </w:p>
    <w:p>
      <w:r>
        <w:rPr>
          <w:rFonts w:ascii="Source Han Serif SC" w:hAnsi="Source Han Serif SC" w:eastAsia="Source Han Serif SC"/>
          <w:b w:val="0"/>
          <w:color w:val="242A30"/>
          <w:sz w:val="21"/>
        </w:rPr>
        <w:t>调取征收终止、收购、注销、更正登记、留存产权人名单、项目退出和会议纪要。产权复杂可以解释项目延误，但通常不能永久阻断基本排水、通行和安全防护的比例性安排，也不能授权企业侵害仍然存在的合法产权。</w:t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六、取证时间表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开庭前立即完成（1—3日）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提交现状勘验申请和点位清单；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提交公安记录、2022/2023鉴定资料和科棚授权的法院调查申请；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把现有裁判、2015文件、2022委托、2023街道函组成“开福棚改投职责证据包”；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书面请求科棚说明进场授权和实际实施人员；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校正代理意见中的鉴定时间线。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开庭后短期（7—20日）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分机关提交政府信息公开申请；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申请法院限定科棚、开福棚改投提交书证；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根据现场勘验确定是否申请因果及修复方案鉴定；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获取2026采购逐栋清单，核验是否包含12号。</w:t>
      </w:r>
    </w:p>
    <w:p>
      <w:pPr>
        <w:pStyle w:val="Heading2"/>
      </w:pPr>
      <w:r>
        <w:rPr>
          <w:rFonts w:ascii="TsangerJinKai02" w:hAnsi="TsangerJinKai02" w:eastAsia="TsangerJinKai02"/>
          <w:b/>
          <w:color w:val="1B365D"/>
          <w:sz w:val="28"/>
        </w:rPr>
        <w:t>调解期（30—90日）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取得一房一策、项目库、历史文化保护身份和资金资料；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共同选定鉴定/设计机构；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对维修加固、原拆原建、收购置换进行成本和期限对比；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将最终方案转化为调解书附件，而非停留在会议纪要。</w:t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七、证据使用红线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不以2026政策替代对科棚行为和因果关系的证明；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不以“潮宗街片区”概念替代楠木厅12号逐栋入库证明；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不以“国企投资、民企运营”新闻替代合同和授权；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不把楠木厅12号与楠木厅6号历史建筑混淆；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不把规划征求意见稿写成已批准规划；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不把2026年8月已发布但9月10日才生效的《历史文化街区保护管理办法》倒推适用于此前行为；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不把C/Csu写成必须拆除；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不把2023年“主体结构B级”扩大成全楼全功能B/Bsu；</w:t>
      </w:r>
    </w:p>
    <w:p>
      <w:pPr>
        <w:pStyle w:val="ListBullet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不因政府信息未公开就直接推定对方违法，应先核实是否存在、不予公开理由和可替代证据。</w:t>
      </w:r>
    </w:p>
    <w:p>
      <w:pPr>
        <w:pStyle w:val="Heading1"/>
      </w:pPr>
      <w:r>
        <w:rPr>
          <w:rFonts w:ascii="TsangerJinKai02" w:hAnsi="TsangerJinKai02" w:eastAsia="TsangerJinKai02"/>
          <w:b/>
          <w:color w:val="1B365D"/>
          <w:sz w:val="36"/>
        </w:rPr>
        <w:t>八、建议向法院提交的一页调查问题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2022年鉴定由谁委托、为何需要进入东301、谁实施钻孔、钻孔是否修复？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2023年加固项目由谁设计、施工、验收和付款，具体工程范围是什么？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所谓加固后B级是主体结构还是整栋综合安全，是否形成风险销号？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当前围挡由谁设置、依据何文件、何时复核、为何不能设置合理安全通道？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2023年“一房一策”是否形成，治理责任人、方式、资金和期限是什么？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12号是否纳入潮宗街城市更新项目、项目库或2026鉴定采购，证明文件是什么？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科棚与开福棚改投、北城资产、街道之间的授权和职责如何分配？</w:t>
      </w:r>
    </w:p>
    <w:p>
      <w:pPr>
        <w:pStyle w:val="ListNumber"/>
        <w:spacing w:after="60"/>
        <w:ind w:left="397" w:hanging="198"/>
      </w:pPr>
      <w:r>
        <w:rPr>
          <w:rFonts w:ascii="Source Han Serif SC" w:hAnsi="Source Han Serif SC" w:eastAsia="Source Han Serif SC"/>
          <w:b w:val="0"/>
          <w:color w:val="242A30"/>
          <w:sz w:val="21"/>
        </w:rPr>
        <w:t>如果仍以房屋安全限制原告使用，下一步修缮、加固、复鉴或其他治理方案及期限是什么？</w:t>
      </w:r>
    </w:p>
    <w:p>
      <w:pPr>
        <w:spacing w:before="80" w:after="120"/>
        <w:pBdr>
          <w:bottom w:val="single" w:sz="8" w:space="1" w:color="A97732"/>
        </w:pBdr>
      </w:pPr>
    </w:p>
    <w:p>
      <w:r>
        <w:rPr>
          <w:rFonts w:ascii="Source Han Serif SC" w:hAnsi="Source Han Serif SC" w:eastAsia="Source Han Serif SC"/>
          <w:b/>
          <w:color w:val="1B365D"/>
          <w:sz w:val="21"/>
        </w:rPr>
        <w:t>操作结论：</w:t>
      </w:r>
      <w:r>
        <w:rPr>
          <w:rFonts w:ascii="Source Han Serif SC" w:hAnsi="Source Han Serif SC" w:eastAsia="Source Han Serif SC"/>
          <w:b w:val="0"/>
          <w:color w:val="242A30"/>
          <w:sz w:val="21"/>
        </w:rPr>
        <w:t>当前最有价值的不是再增加若干宏观政策，而是拿到2023年完整复鉴与销号资料、2023“一房一策”、2026采购逐栋清单、当前围挡依据、科棚授权链和开福棚改投的实施文件。这六组证据将直接决定被告适格、第五项诉请、追加主体和调解档位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77" w:right="1020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/>
        <w:b w:val="0"/>
        <w:color w:val="66717B"/>
        <w:sz w:val="16"/>
      </w:rPr>
      <w:t xml:space="preserve">2026.08.13  ·  </w:t>
    </w:r>
    <w:r>
      <w:rPr>
        <w:rFonts w:ascii="Source Han Sans SC" w:hAnsi="Source Han Sans SC" w:eastAsia="Source Han Sans SC"/>
        <w:b w:val="0"/>
        <w:color w:val="66717B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5" w:space="5" w:color="B4AD9B"/>
      </w:pBdr>
    </w:pPr>
    <w:r>
      <w:rPr>
        <w:rFonts w:ascii="Source Han Sans SC" w:hAnsi="Source Han Sans SC" w:eastAsia="Source Han Sans SC"/>
        <w:b w:val="0"/>
        <w:color w:val="66717B"/>
        <w:sz w:val="16"/>
      </w:rPr>
      <w:t>楠木厅12号案 · 城市更新政策专题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48" w:lineRule="auto" w:after="100"/>
    </w:pPr>
    <w:rPr>
      <w:rFonts w:ascii="Source Han Serif SC" w:hAnsi="Source Han Serif SC" w:eastAsia="Source Han Serif SC"/>
      <w:color w:val="242A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180"/>
      <w:outlineLvl w:val="0"/>
    </w:pPr>
    <w:rPr>
      <w:rFonts w:asciiTheme="majorHAnsi" w:eastAsiaTheme="majorEastAsia" w:hAnsiTheme="majorHAnsi" w:cstheme="majorBidi" w:ascii="TsangerJinKai02" w:hAnsi="TsangerJinKai02" w:eastAsia="TsangerJinKai02"/>
      <w:b/>
      <w:bCs/>
      <w:color w:val="1B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20"/>
      <w:outlineLvl w:val="1"/>
    </w:pPr>
    <w:rPr>
      <w:rFonts w:asciiTheme="majorHAnsi" w:eastAsiaTheme="majorEastAsia" w:hAnsiTheme="majorHAnsi" w:cstheme="majorBidi" w:ascii="TsangerJinKai02" w:hAnsi="TsangerJinKai02" w:eastAsia="TsangerJinKai02"/>
      <w:b/>
      <w:bCs/>
      <w:color w:val="1B365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80"/>
      <w:outlineLvl w:val="2"/>
    </w:pPr>
    <w:rPr>
      <w:rFonts w:asciiTheme="majorHAnsi" w:eastAsiaTheme="majorEastAsia" w:hAnsiTheme="majorHAnsi" w:cstheme="majorBidi" w:ascii="Source Han Sans SC" w:hAnsi="Source Han Sans SC" w:eastAsia="Source Han Sans SC"/>
      <w:b/>
      <w:bCs/>
      <w:color w:val="284F7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ullQuote">
    <w:name w:val="Pull Quote"/>
    <w:pPr>
      <w:spacing w:before="100" w:after="140"/>
      <w:ind w:left="397" w:right="283"/>
    </w:pPr>
    <w:rPr>
      <w:rFonts w:ascii="TsangerJinKai02" w:hAnsi="TsangerJinKai02" w:eastAsia="TsangerJinKai02"/>
      <w:color w:val="1B365D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城市更新政策证据与调查取证清单</dc:title>
  <dc:subject>楠木厅12号排除妨害案 · 长沙城市更新政策专题研究</dc:subject>
  <dc:creator>诉讼专题研究工作稿</dc:creator>
  <cp:keywords>长沙城市更新, 楠木厅12号, 排除妨害, 危旧房, 潮宗街</cp:keywords>
  <dc:description>研究基准日：2026年8月13日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