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before="0" w:after="240"/>
        <w:ind w:firstLine="0"/>
        <w:jc w:val="center"/>
      </w:pPr>
      <w:r>
        <w:rPr>
          <w:rFonts w:ascii="仿宋" w:hAnsi="仿宋" w:eastAsia="仿宋"/>
          <w:b/>
          <w:sz w:val="44"/>
        </w:rPr>
        <w:t>3分钟案件说明</w:t>
      </w:r>
    </w:p>
    <w:p>
      <w:pPr>
        <w:spacing w:line="360" w:lineRule="auto" w:before="0" w:after="0"/>
        <w:ind w:firstLine="420"/>
        <w:jc w:val="both"/>
      </w:pPr>
      <w:r>
        <w:rPr>
          <w:rFonts w:ascii="仿宋" w:hAnsi="仿宋" w:eastAsia="仿宋"/>
          <w:b w:val="0"/>
          <w:sz w:val="30"/>
        </w:rPr>
        <w:t>审判长、审判员：</w:t>
      </w:r>
    </w:p>
    <w:p>
      <w:pPr>
        <w:spacing w:line="360" w:lineRule="auto" w:before="0" w:after="0"/>
        <w:ind w:firstLine="420"/>
        <w:jc w:val="both"/>
      </w:pPr>
      <w:r>
        <w:rPr>
          <w:rFonts w:ascii="仿宋" w:hAnsi="仿宋" w:eastAsia="仿宋"/>
          <w:b w:val="0"/>
          <w:sz w:val="30"/>
        </w:rPr>
        <w:t>第一，楠木厅12号是一栋仍然存在的老旧楼栋。生效判决已经确认李运芳是楠木厅12号楼303房业主，房屋未被征收；本案起诉状使用东301、4栋2门301称谓，原告将以真实权证和门牌对应资料说明系同一房屋。科棚不是现有材料显示的登记产权人。</w:t>
      </w:r>
    </w:p>
    <w:p>
      <w:pPr>
        <w:spacing w:line="360" w:lineRule="auto" w:before="0" w:after="0"/>
        <w:ind w:firstLine="420"/>
        <w:jc w:val="both"/>
      </w:pPr>
      <w:r>
        <w:rPr>
          <w:rFonts w:ascii="仿宋" w:hAnsi="仿宋" w:eastAsia="仿宋"/>
          <w:b w:val="0"/>
          <w:sz w:val="30"/>
        </w:rPr>
        <w:t>第二，原告主张，2026年4月科棚相关人员以危房鉴定为由进入涉案专有房屋，并进行钻孔、凿损等侵入性操作。现场照片能够看到墙面、砖体存在孔洞、沟槽、凿损和碎屑。现有报警回执只证明4月27日报警，并不记载行为人或“有权鉴定”原话；因此，原告请求结合原始视频、接处警材料、鉴定委托和派工资料查明是谁组织、谁进入、谁实施。</w:t>
      </w:r>
    </w:p>
    <w:p>
      <w:pPr>
        <w:spacing w:line="360" w:lineRule="auto" w:before="0" w:after="0"/>
        <w:ind w:firstLine="420"/>
        <w:jc w:val="both"/>
      </w:pPr>
      <w:r>
        <w:rPr>
          <w:rFonts w:ascii="仿宋" w:hAnsi="仿宋" w:eastAsia="仿宋"/>
          <w:b w:val="0"/>
          <w:sz w:val="30"/>
        </w:rPr>
        <w:t>第三，原告今天要求法院解决两类问题：一是以后不得在没有产权人同意、明确授权或法定程序时再次进入专有房屋并实施钻孔、凿墙等侵入性行为；二是对能够证明由科棚实施、组织、控制或负责的墙体损坏、围挡、建筑垃圾、通行和排水妨害，分别清除、移除、修复并恢复正常功能。已经清理的生活垃圾不再要求重复判决。</w:t>
      </w:r>
    </w:p>
    <w:p>
      <w:pPr>
        <w:spacing w:line="360" w:lineRule="auto" w:before="0" w:after="0"/>
        <w:ind w:firstLine="420"/>
        <w:jc w:val="both"/>
      </w:pPr>
      <w:r>
        <w:rPr>
          <w:rFonts w:ascii="仿宋" w:hAnsi="仿宋" w:eastAsia="仿宋"/>
          <w:b w:val="0"/>
          <w:sz w:val="30"/>
        </w:rPr>
        <w:t>第四，最关键的证据是：证据1及生效判决用于证明原告物权；证据2证明报警事实；证据3反映墙体损坏外观；证据4反映围挡现场；证据5证明科棚主体。最关键的待查证据则是原始连续视频、接处警记录、鉴定合同、付款和派工资料，它们将回答科棚为何进场、授权是否包括东301以及是否包括侵入性检测。</w:t>
      </w:r>
    </w:p>
    <w:p>
      <w:pPr>
        <w:spacing w:line="360" w:lineRule="auto" w:before="0" w:after="0"/>
        <w:ind w:firstLine="420"/>
        <w:jc w:val="both"/>
      </w:pPr>
      <w:r>
        <w:rPr>
          <w:rFonts w:ascii="仿宋" w:hAnsi="仿宋" w:eastAsia="仿宋"/>
          <w:b w:val="0"/>
          <w:sz w:val="30"/>
        </w:rPr>
        <w:t>第五，原告起诉科棚不是因为股权关联，而是因为原告主张科棚实际介入了入户和鉴定行为。若查明相关行为归属于科棚，它即应对自身造成的妨害和损坏负责；另有主体承担长期楼栋管理职责，不会消灭科棚的直接行为责任。请法院按照每项行为、授权、控制和因果关系，支持证据充分、责任明确且能够具体执行的停止、排除、修复和恢复请求。</w:t>
      </w:r>
    </w:p>
    <w:sectPr w:rsidR="00FC693F" w:rsidRPr="0006063C" w:rsidSect="00034616">
      <w:footerReference w:type="default" r:id="rId9"/>
      <w:pgSz w:w="11906" w:h="16838"/>
      <w:pgMar w:top="1587" w:right="1587" w:bottom="1417" w:left="1701" w:header="720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仿宋" w:hAnsi="仿宋" w:eastAsia="仿宋"/>
        <w:sz w:val="21"/>
      </w:rPr>
      <w:t xml:space="preserve">第 </w:t>
      <w:fldChar w:fldCharType="begin"/>
      <w:instrText xml:space="preserve"> PAGE </w:instrText>
      <w:fldChar w:fldCharType="separate"/>
      <w:fldChar w:fldCharType="end"/>
    </w:r>
    <w:r>
      <w:rPr>
        <w:rFonts w:ascii="仿宋" w:hAnsi="仿宋" w:eastAsia="仿宋"/>
        <w:sz w:val="21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before="0" w:after="0"/>
      <w:ind w:firstLine="420"/>
      <w:jc w:val="both"/>
    </w:pPr>
    <w:rPr>
      <w:rFonts w:ascii="仿宋" w:hAnsi="仿宋" w:eastAsia="仿宋"/>
      <w:sz w:val="3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