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before="0" w:after="240"/>
        <w:ind w:firstLine="0"/>
        <w:jc w:val="center"/>
      </w:pPr>
      <w:r>
        <w:rPr>
          <w:rFonts w:ascii="仿宋" w:hAnsi="仿宋" w:eastAsia="仿宋"/>
          <w:b/>
          <w:sz w:val="44"/>
        </w:rPr>
        <w:t>五句话案件逻辑</w:t>
      </w:r>
    </w:p>
    <w:p>
      <w:pPr>
        <w:spacing w:line="360" w:lineRule="auto" w:before="0" w:after="0"/>
        <w:ind w:firstLine="0" w:left="420"/>
        <w:jc w:val="both"/>
      </w:pPr>
      <w:r>
        <w:rPr>
          <w:rFonts w:ascii="仿宋" w:hAnsi="仿宋" w:eastAsia="仿宋"/>
          <w:b w:val="0"/>
          <w:sz w:val="30"/>
        </w:rPr>
        <w:t>1. 楠木厅12号楼仍然存在，生效判决确认李运芳为楼内303房业主、房屋未征收，本案所称东301与303的同一性应以真实权证和门牌资料核实。</w:t>
      </w:r>
    </w:p>
    <w:p>
      <w:pPr>
        <w:spacing w:line="360" w:lineRule="auto" w:before="0" w:after="0"/>
        <w:ind w:firstLine="0" w:left="420"/>
        <w:jc w:val="both"/>
      </w:pPr>
      <w:r>
        <w:rPr>
          <w:rFonts w:ascii="仿宋" w:hAnsi="仿宋" w:eastAsia="仿宋"/>
          <w:b w:val="0"/>
          <w:sz w:val="30"/>
        </w:rPr>
        <w:t>2. 原告主张科棚相关人员以危房鉴定为由进入涉案专有房屋并实施钻孔、凿损，现场照片已反映孔洞、沟槽和凿损外观，但行为人身份及因果关系仍须原始资料闭合。</w:t>
      </w:r>
    </w:p>
    <w:p>
      <w:pPr>
        <w:spacing w:line="360" w:lineRule="auto" w:before="0" w:after="0"/>
        <w:ind w:firstLine="0" w:left="420"/>
        <w:jc w:val="both"/>
      </w:pPr>
      <w:r>
        <w:rPr>
          <w:rFonts w:ascii="仿宋" w:hAnsi="仿宋" w:eastAsia="仿宋"/>
          <w:b w:val="0"/>
          <w:sz w:val="30"/>
        </w:rPr>
        <w:t>3. 原告起诉科棚不是因为股权关联，而是因为其主张科棚实际介进入户和鉴定事务；一旦该行为归属于科棚，科棚即是直接妨害部分的适格被告。</w:t>
      </w:r>
    </w:p>
    <w:p>
      <w:pPr>
        <w:spacing w:line="360" w:lineRule="auto" w:before="0" w:after="0"/>
        <w:ind w:firstLine="0" w:left="420"/>
        <w:jc w:val="both"/>
      </w:pPr>
      <w:r>
        <w:rPr>
          <w:rFonts w:ascii="仿宋" w:hAnsi="仿宋" w:eastAsia="仿宋"/>
          <w:b w:val="0"/>
          <w:sz w:val="30"/>
        </w:rPr>
        <w:t>4. 报警、现场照片、工商材料及待调取的接处警、鉴定委托、派工资料共同用于查明行为、权源和责任范围，现有报警回执本身并未记载“有权鉴定”原话。</w:t>
      </w:r>
    </w:p>
    <w:p>
      <w:pPr>
        <w:spacing w:line="360" w:lineRule="auto" w:before="0" w:after="0"/>
        <w:ind w:firstLine="0" w:left="420"/>
        <w:jc w:val="both"/>
      </w:pPr>
      <w:r>
        <w:rPr>
          <w:rFonts w:ascii="仿宋" w:hAnsi="仿宋" w:eastAsia="仿宋"/>
          <w:b w:val="0"/>
          <w:sz w:val="30"/>
        </w:rPr>
        <w:t>5. 法院应禁止无合法依据的再次进入，并对证据能够证明属于科棚行为、授权、控制或职责范围的现存妨害和具体毁损，作出明确、可执行的排除、修复和功能恢复判项。</w:t>
      </w:r>
    </w:p>
    <w:sectPr w:rsidR="00FC693F" w:rsidRPr="0006063C" w:rsidSect="00034616">
      <w:footerReference w:type="default" r:id="rId9"/>
      <w:pgSz w:w="11906" w:h="16838"/>
      <w:pgMar w:top="1587" w:right="1587" w:bottom="1417" w:left="1701" w:header="720"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仿宋" w:hAnsi="仿宋" w:eastAsia="仿宋"/>
        <w:sz w:val="21"/>
      </w:rPr>
      <w:t xml:space="preserve">第 </w:t>
      <w:fldChar w:fldCharType="begin"/>
      <w:instrText xml:space="preserve"> PAGE </w:instrText>
      <w:fldChar w:fldCharType="separate"/>
      <w:fldChar w:fldCharType="end"/>
    </w:r>
    <w:r>
      <w:rPr>
        <w:rFonts w:ascii="仿宋" w:hAnsi="仿宋" w:eastAsia="仿宋"/>
        <w:sz w:val="21"/>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0"/>
      <w:ind w:firstLine="420"/>
      <w:jc w:val="both"/>
    </w:pPr>
    <w:rPr>
      <w:rFonts w:ascii="仿宋" w:hAnsi="仿宋" w:eastAsia="仿宋"/>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