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240"/>
        <w:ind w:firstLine="0"/>
        <w:jc w:val="center"/>
      </w:pPr>
      <w:r>
        <w:rPr>
          <w:rFonts w:ascii="仿宋" w:hAnsi="仿宋" w:eastAsia="仿宋"/>
          <w:b/>
          <w:sz w:val="44"/>
        </w:rPr>
        <w:t>法官证据导航表</w:t>
      </w:r>
    </w:p>
    <w:p>
      <w:pPr>
        <w:spacing w:line="360" w:lineRule="auto" w:before="0" w:after="0"/>
        <w:ind w:firstLine="420"/>
        <w:jc w:val="both"/>
      </w:pPr>
      <w:r>
        <w:rPr>
          <w:rFonts w:ascii="仿宋" w:hAnsi="仿宋" w:eastAsia="仿宋"/>
          <w:b w:val="0"/>
          <w:sz w:val="30"/>
        </w:rPr>
        <w:t>案由：李运芳诉长沙科棚潮宗街商业管理有限公司排除妨害纠纷</w:t>
      </w:r>
    </w:p>
    <w:p>
      <w:pPr>
        <w:spacing w:line="360" w:lineRule="auto" w:before="0" w:after="0"/>
        <w:ind w:firstLine="0" w:left="420"/>
        <w:jc w:val="both"/>
      </w:pPr>
      <w:r>
        <w:rPr>
          <w:rFonts w:ascii="仿宋" w:hAnsi="仿宋" w:eastAsia="仿宋"/>
          <w:b w:val="0"/>
          <w:sz w:val="30"/>
        </w:rPr>
        <w:t>说明：本表以最新版证据目录的编号为准。页码应在证据分册完成连续编页后填写；“补充证据”如尚未提交，须先完成举证手续，不得直接假定已经在卷。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24"/>
        <w:gridCol w:w="1724"/>
        <w:gridCol w:w="1724"/>
        <w:gridCol w:w="1724"/>
        <w:gridCol w:w="1724"/>
      </w:tblGrid>
      <w:tr>
        <w:tc>
          <w:tcPr>
            <w:tcW w:type="dxa" w:w="1724"/>
            <w:vAlign w:val="center"/>
            <w:shd w:fill="D9EAF7"/>
          </w:tcPr>
          <w:p>
            <w:pPr>
              <w:spacing w:line="276" w:lineRule="auto" w:before="20" w:after="20"/>
              <w:ind w:firstLine="0"/>
              <w:jc w:val="center"/>
            </w:pPr>
            <w:r/>
            <w:r>
              <w:rPr>
                <w:rFonts w:ascii="仿宋" w:hAnsi="仿宋" w:eastAsia="仿宋"/>
                <w:b/>
                <w:sz w:val="19"/>
              </w:rPr>
              <w:t>法官需要确认的事实</w:t>
            </w:r>
          </w:p>
        </w:tc>
        <w:tc>
          <w:tcPr>
            <w:tcW w:type="dxa" w:w="1724"/>
            <w:vAlign w:val="center"/>
            <w:shd w:fill="D9EAF7"/>
          </w:tcPr>
          <w:p>
            <w:pPr>
              <w:spacing w:line="276" w:lineRule="auto" w:before="20" w:after="20"/>
              <w:ind w:firstLine="0"/>
              <w:jc w:val="center"/>
            </w:pPr>
            <w:r/>
            <w:r>
              <w:rPr>
                <w:rFonts w:ascii="仿宋" w:hAnsi="仿宋" w:eastAsia="仿宋"/>
                <w:b/>
                <w:sz w:val="19"/>
              </w:rPr>
              <w:t>证据编号</w:t>
            </w:r>
          </w:p>
        </w:tc>
        <w:tc>
          <w:tcPr>
            <w:tcW w:type="dxa" w:w="1724"/>
            <w:vAlign w:val="center"/>
            <w:shd w:fill="D9EAF7"/>
          </w:tcPr>
          <w:p>
            <w:pPr>
              <w:spacing w:line="276" w:lineRule="auto" w:before="20" w:after="20"/>
              <w:ind w:firstLine="0"/>
              <w:jc w:val="center"/>
            </w:pPr>
            <w:r/>
            <w:r>
              <w:rPr>
                <w:rFonts w:ascii="仿宋" w:hAnsi="仿宋" w:eastAsia="仿宋"/>
                <w:b/>
                <w:sz w:val="19"/>
              </w:rPr>
              <w:t>证据名称</w:t>
            </w:r>
          </w:p>
        </w:tc>
        <w:tc>
          <w:tcPr>
            <w:tcW w:type="dxa" w:w="1724"/>
            <w:vAlign w:val="center"/>
            <w:shd w:fill="D9EAF7"/>
          </w:tcPr>
          <w:p>
            <w:pPr>
              <w:spacing w:line="276" w:lineRule="auto" w:before="20" w:after="20"/>
              <w:ind w:firstLine="0"/>
              <w:jc w:val="center"/>
            </w:pPr>
            <w:r/>
            <w:r>
              <w:rPr>
                <w:rFonts w:ascii="仿宋" w:hAnsi="仿宋" w:eastAsia="仿宋"/>
                <w:b/>
                <w:sz w:val="19"/>
              </w:rPr>
              <w:t>页码</w:t>
            </w:r>
          </w:p>
        </w:tc>
        <w:tc>
          <w:tcPr>
            <w:tcW w:type="dxa" w:w="1724"/>
            <w:vAlign w:val="center"/>
            <w:shd w:fill="D9EAF7"/>
          </w:tcPr>
          <w:p>
            <w:pPr>
              <w:spacing w:line="276" w:lineRule="auto" w:before="20" w:after="20"/>
              <w:ind w:firstLine="0"/>
              <w:jc w:val="center"/>
            </w:pPr>
            <w:r/>
            <w:r>
              <w:rPr>
                <w:rFonts w:ascii="仿宋" w:hAnsi="仿宋" w:eastAsia="仿宋"/>
                <w:b/>
                <w:sz w:val="19"/>
              </w:rPr>
              <w:t>结论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李运芳对涉案房屋享有物权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证据1；补充证据A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房屋权属证明；（2023）湘8601行初1133号行政判决书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证据1【待编页码】；判决第6页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生效判决确认李运芳系楠木厅12号楼303房业主、房屋未征收；东301/4栋2门301与303同一性仍须真实权证及门牌资料说明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开福棚改投的楼栋管理、改造职责背景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补充证据A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（2023）湘8601行初1133号、（2023）湘01行终922号行政判决书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一审第6、10页；二审第12页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生效裁判确认其在相关审批下承担具体改造义务，并可据审批管理、改造楼栋；该事实不等于科棚当然获授权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原告就涉案事项报警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证据2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报警回执单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【待编页码】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仅证明2026年4月27日9时23分接报，编号4301052026042709018007950；不证明4月19日经过、行为人、钻孔或“有权鉴定”原话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涉案房屋存在孔洞、沟槽、凿损和碎屑外观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证据3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墙体损坏现场照片、视频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【待编页码】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可以证明外观；不能单独证明地点、形成时间、实施人及科棚因果关系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围挡在拍摄时客观存在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证据4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一楼大门、通道及现场照片、视频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【待编页码】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可以证明当时存在绿色围挡；不能单独证明当前仍存、由科棚设置控制或已实质阻断通行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科棚公司主体信息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证据5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科棚公司工商登记信息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【待编页码】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证明公司名称、统一社会信用代码、住所、法定代表人及经营范围；经营范围不等于具体楼栋授权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潘某曾就大门、垃圾等现场事项作出陈述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证据6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原告所称现场视频、截图及线索材料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【待编页码】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现有文字整理稿标注“草稿/待核对”；必须提交原始视听资料并证明潘某身份、原话和2026年与科棚的任务关系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科棚相关人员进入、鉴定及钻孔的完整过程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【证据缺口】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原始连续视频、鉴定进场记录、现场人员名单、派工及委托材料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【未提交】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是直接行为责任的核心缺口，应申请被告提交并调取公安材料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科棚方面是否曾称“有权进入鉴定”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【证据缺口】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接处警单、询问笔录、执法记录仪、同步录音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【未提交】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当前报警回执无此原话；必须按原始材料准确引用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科棚是否协调诉后清理生活垃圾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【证据缺口】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清运通知、沟通记录、清运前后原始影像、城投说明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【未提交】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现只能确认原告陈述部分生活垃圾已清；不能认定组织者或管理责任自认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剩余建筑垃圾的位置、数量和责任主体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【证据缺口】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最新连续现场视频、点位图、形成过程、清运记录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【未提交】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墙体照片中的局部碎屑不足以证明整栋建筑垃圾责任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排水设施原状态、现状态、堵点及因果关系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【证据缺口】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管线图、历史使用资料、通水/闭水测试、施工痕迹、现场勘验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【未提交】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当前不足以形成针对科棚的明确修复判项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围挡、通行障碍的当前状态和控制主体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【需补强】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开庭前连续视频、出入口及路线图、通行宽度、设置和维护记录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补齐后方可判断是否持续妨害及由谁移除</w:t>
            </w:r>
          </w:p>
        </w:tc>
      </w:tr>
      <w:tr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具体墙体损坏的可执行修复标准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【需补强】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P1—P4点位图、尺寸深度、损坏前资料、修复方案、现场勘验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【待提交】</w:t>
            </w:r>
          </w:p>
        </w:tc>
        <w:tc>
          <w:tcPr>
            <w:tcW w:type="dxa" w:w="1724"/>
            <w:vAlign w:val="center"/>
          </w:tcPr>
          <w:p>
            <w:pPr>
              <w:spacing w:line="276" w:lineRule="auto" w:before="20" w:after="20"/>
              <w:ind w:firstLine="0"/>
              <w:jc w:val="left"/>
            </w:pPr>
            <w:r/>
            <w:r>
              <w:rPr>
                <w:rFonts w:ascii="仿宋" w:hAnsi="仿宋" w:eastAsia="仿宋"/>
                <w:b w:val="0"/>
                <w:sz w:val="19"/>
              </w:rPr>
              <w:t>需明确点位、措施、期限、功能及验收标准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587" w:right="1587" w:bottom="1417" w:left="1701" w:header="720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仿宋" w:hAnsi="仿宋" w:eastAsia="仿宋"/>
        <w:sz w:val="21"/>
      </w:rPr>
      <w:t xml:space="preserve">第 </w:t>
      <w:fldChar w:fldCharType="begin"/>
      <w:instrText xml:space="preserve"> PAGE </w:instrText>
      <w:fldChar w:fldCharType="separate"/>
      <w:fldChar w:fldCharType="end"/>
    </w:r>
    <w:r>
      <w:rPr>
        <w:rFonts w:ascii="仿宋" w:hAnsi="仿宋" w:eastAsia="仿宋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  <w:ind w:firstLine="420"/>
      <w:jc w:val="both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