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before="0" w:after="240"/>
        <w:ind w:firstLine="0"/>
        <w:jc w:val="center"/>
      </w:pPr>
      <w:r>
        <w:rPr>
          <w:rFonts w:ascii="仿宋" w:hAnsi="仿宋" w:eastAsia="仿宋"/>
          <w:b/>
          <w:sz w:val="44"/>
        </w:rPr>
        <w:t>代理意见</w:t>
      </w:r>
    </w:p>
    <w:p>
      <w:pPr>
        <w:spacing w:line="360" w:lineRule="auto" w:before="0" w:after="0"/>
        <w:ind w:firstLine="0" w:left="0"/>
        <w:jc w:val="both"/>
      </w:pPr>
      <w:r>
        <w:rPr>
          <w:rFonts w:ascii="仿宋" w:hAnsi="仿宋" w:eastAsia="仿宋"/>
          <w:b w:val="0"/>
          <w:sz w:val="30"/>
        </w:rPr>
        <w:t>案号：【待以受理通知书或传票核实】</w:t>
      </w:r>
    </w:p>
    <w:p>
      <w:pPr>
        <w:spacing w:line="360" w:lineRule="auto" w:before="0" w:after="0"/>
        <w:ind w:firstLine="420"/>
        <w:jc w:val="both"/>
      </w:pPr>
      <w:r>
        <w:rPr>
          <w:rFonts w:ascii="仿宋" w:hAnsi="仿宋" w:eastAsia="仿宋"/>
          <w:b w:val="0"/>
          <w:sz w:val="30"/>
        </w:rPr>
        <w:t>审判长、审判员：</w:t>
      </w:r>
    </w:p>
    <w:p>
      <w:pPr>
        <w:spacing w:line="360" w:lineRule="auto" w:before="0" w:after="0"/>
        <w:ind w:firstLine="420"/>
        <w:jc w:val="both"/>
      </w:pPr>
      <w:r>
        <w:rPr>
          <w:rFonts w:ascii="仿宋" w:hAnsi="仿宋" w:eastAsia="仿宋"/>
          <w:b w:val="0"/>
          <w:sz w:val="30"/>
        </w:rPr>
        <w:t>受原告李运芳委托，现就其诉长沙科棚潮宗街商业管理有限公司排除妨害纠纷案发表代理意见。</w:t>
      </w:r>
    </w:p>
    <w:p>
      <w:pPr>
        <w:spacing w:line="360" w:lineRule="auto" w:before="0" w:after="0"/>
        <w:ind w:firstLine="420"/>
        <w:jc w:val="both"/>
      </w:pPr>
      <w:r>
        <w:rPr>
          <w:rFonts w:ascii="仿宋" w:hAnsi="仿宋" w:eastAsia="仿宋"/>
          <w:b w:val="0"/>
          <w:sz w:val="30"/>
        </w:rPr>
        <w:t>本案可以用四句话说明：楠木厅12号楼仍然存在，李运芳对楼内涉案房屋享有物权；原告主张科棚相关人员以危房鉴定为由进入该房屋并实施钻孔、凿损等侵入性行为；楼栋的围挡、建筑碎屑、排水及通行问题尚需按现状和责任主体逐项查明；原告请求法院禁止无合法依据的再次进入，对能够证明由科棚实施、组织、控制或者应由其负责的妨害，作出明确的排除、修复和功能恢复判项。</w:t>
      </w:r>
    </w:p>
    <w:p>
      <w:pPr>
        <w:spacing w:line="360" w:lineRule="auto" w:before="160" w:after="0"/>
        <w:ind w:firstLine="0"/>
        <w:jc w:val="both"/>
      </w:pPr>
      <w:r>
        <w:rPr>
          <w:rFonts w:ascii="仿宋" w:hAnsi="仿宋" w:eastAsia="仿宋"/>
          <w:b/>
          <w:sz w:val="32"/>
        </w:rPr>
        <w:t>一、涉案楼栋及产权关系基本情况</w:t>
      </w:r>
    </w:p>
    <w:p>
      <w:pPr>
        <w:spacing w:line="360" w:lineRule="auto" w:before="0" w:after="0"/>
        <w:ind w:firstLine="420"/>
        <w:jc w:val="both"/>
      </w:pPr>
      <w:r>
        <w:rPr>
          <w:rFonts w:ascii="仿宋" w:hAnsi="仿宋" w:eastAsia="仿宋"/>
          <w:b w:val="0"/>
          <w:sz w:val="30"/>
        </w:rPr>
        <w:t>涉案楼栋位于长沙市开福区楠木厅12号，系仍然客观存在的老旧楼栋。生效判决记载，该楼栋曾进行安全检测和加固，2023年加固后的安全鉴定结论为B级；本案当前争议不在征收、行政审批或者改造政策本身，而在原告房屋及相关使用条件是否受到现实妨害，以及应由谁排除和修复。【补充证据A：（2023）湘8601行初1133号行政判决书，第7页；如已提交，请替换为卷内证据编号】</w:t>
      </w:r>
    </w:p>
    <w:p>
      <w:pPr>
        <w:spacing w:line="360" w:lineRule="auto" w:before="0" w:after="0"/>
        <w:ind w:firstLine="420"/>
        <w:jc w:val="both"/>
      </w:pPr>
      <w:r>
        <w:rPr>
          <w:rFonts w:ascii="仿宋" w:hAnsi="仿宋" w:eastAsia="仿宋"/>
          <w:b w:val="0"/>
          <w:sz w:val="30"/>
        </w:rPr>
        <w:t>原告已将房屋权属证明列为证据1。另有生效判决明确载明：“原告李运芳系长沙市开福区楠木厅12号楼303房的业主”，并确认该房屋未征收、仍为李运芳所有。【证据1：《房屋权属证明》；补充证据A：（2023）湘8601行初1133号行政判决书，第6页】现起诉状使用“东301”及“4栋2门301”的称谓，原告应当在庭审中用真实权证原件、登记簿或者门牌对应材料说明其与判决所称“303房”的同一性。</w:t>
      </w:r>
    </w:p>
    <w:p>
      <w:pPr>
        <w:spacing w:line="360" w:lineRule="auto" w:before="0" w:after="0"/>
        <w:ind w:firstLine="420"/>
        <w:jc w:val="both"/>
      </w:pPr>
      <w:r>
        <w:rPr>
          <w:rFonts w:ascii="仿宋" w:hAnsi="仿宋" w:eastAsia="仿宋"/>
          <w:b w:val="0"/>
          <w:sz w:val="30"/>
        </w:rPr>
        <w:t>现有材料未显示科棚是涉案房屋的登记产权人。科棚工商材料只能证明其公司主体和经营范围，不能单独证明其对涉案楼栋享有物权或者已取得进入原告专有房屋的授权。【证据5：《科棚公司工商登记信息》】</w:t>
      </w:r>
    </w:p>
    <w:p>
      <w:pPr>
        <w:spacing w:line="360" w:lineRule="auto" w:before="160" w:after="0"/>
        <w:ind w:firstLine="0"/>
        <w:jc w:val="both"/>
      </w:pPr>
      <w:r>
        <w:rPr>
          <w:rFonts w:ascii="仿宋" w:hAnsi="仿宋" w:eastAsia="仿宋"/>
          <w:b/>
          <w:sz w:val="32"/>
        </w:rPr>
        <w:t>二、本案纠纷的发生经过</w:t>
      </w:r>
    </w:p>
    <w:p>
      <w:pPr>
        <w:spacing w:line="360" w:lineRule="auto" w:before="0" w:after="0"/>
        <w:ind w:firstLine="420"/>
        <w:jc w:val="both"/>
      </w:pPr>
      <w:r>
        <w:rPr>
          <w:rFonts w:ascii="仿宋" w:hAnsi="仿宋" w:eastAsia="仿宋"/>
          <w:b w:val="0"/>
          <w:sz w:val="30"/>
        </w:rPr>
        <w:t>原告主张，2026年4月，科棚相关人员以危房鉴定为由进入涉案房屋并实施钻孔、凿损等行为。现有现场照片可见墙面、砖体存在沟槽、孔洞、凿损及碎屑等外观，但具体发生时间、点位、实施人员、与科棚的身份关系以及损坏前后因果关系，仍应结合原始连续视频、公安接处警材料、鉴定委托和现场人员资料查明。【证据3：《墙体损坏现场照片、视频》】</w:t>
      </w:r>
    </w:p>
    <w:p>
      <w:pPr>
        <w:spacing w:line="360" w:lineRule="auto" w:before="0" w:after="0"/>
        <w:ind w:firstLine="420"/>
        <w:jc w:val="both"/>
      </w:pPr>
      <w:r>
        <w:rPr>
          <w:rFonts w:ascii="仿宋" w:hAnsi="仿宋" w:eastAsia="仿宋"/>
          <w:b w:val="0"/>
          <w:sz w:val="30"/>
        </w:rPr>
        <w:t>原告就此报警。现有报警回执能够证明公安机关于2026年4月27日9时23分接报，编号为4301052026042709018007950；该回执本身没有记载4月19日经过、具体行为人、钻孔行为或者“有权鉴定”的原话。【证据2：《报警回执单》】原告关于“科棚方面在报警处理中主张有权进入鉴定”的陈述，应以接处警单、询问笔录、执法记录仪或者同步录音的准确内容核实；未经核实，不应把该句话写成公安机关已经固定的事实。</w:t>
      </w:r>
    </w:p>
    <w:p>
      <w:pPr>
        <w:spacing w:line="360" w:lineRule="auto" w:before="0" w:after="0"/>
        <w:ind w:firstLine="420"/>
        <w:jc w:val="both"/>
      </w:pPr>
      <w:r>
        <w:rPr>
          <w:rFonts w:ascii="仿宋" w:hAnsi="仿宋" w:eastAsia="仿宋"/>
          <w:b w:val="0"/>
          <w:sz w:val="30"/>
        </w:rPr>
        <w:t>现场照片还反映拍摄时楼栋附近存在绿色施工围挡；原告并主张楼内存在建筑碎屑、排水和通行问题。【证据4：《一楼大门、通道及现场照片、视频》】但是，围挡是否仍存、由谁设置或控制、是否实际阻断必要通道，以及垃圾、排水问题是否由科棚形成或者在其控制范围内，均需以开庭前最新现场记录和相应责任证据逐项查明。</w:t>
      </w:r>
    </w:p>
    <w:p>
      <w:pPr>
        <w:spacing w:line="360" w:lineRule="auto" w:before="0" w:after="0"/>
        <w:ind w:firstLine="420"/>
        <w:jc w:val="both"/>
      </w:pPr>
      <w:r>
        <w:rPr>
          <w:rFonts w:ascii="仿宋" w:hAnsi="仿宋" w:eastAsia="仿宋"/>
          <w:b w:val="0"/>
          <w:sz w:val="30"/>
        </w:rPr>
        <w:t>原告陈述，起诉后部分生活垃圾已经被清理。已经消除的生活垃圾妨害不再请求法院重复判令清除；至于是否由科棚组织或者协调，目前尚缺清运通知、沟通记录、清运前后原始影像或者实施单位说明，补证前不把该事实作为科棚承认管理责任的依据。</w:t>
      </w:r>
    </w:p>
    <w:p>
      <w:pPr>
        <w:spacing w:line="360" w:lineRule="auto" w:before="160" w:after="0"/>
        <w:ind w:firstLine="0"/>
        <w:jc w:val="both"/>
      </w:pPr>
      <w:r>
        <w:rPr>
          <w:rFonts w:ascii="仿宋" w:hAnsi="仿宋" w:eastAsia="仿宋"/>
          <w:b/>
          <w:sz w:val="32"/>
        </w:rPr>
        <w:t>三、原告的诉讼请求及本案需要解决的现实问题</w:t>
      </w:r>
    </w:p>
    <w:p>
      <w:pPr>
        <w:spacing w:line="360" w:lineRule="auto" w:before="0" w:after="0"/>
        <w:ind w:firstLine="420"/>
        <w:jc w:val="both"/>
      </w:pPr>
      <w:r>
        <w:rPr>
          <w:rFonts w:ascii="仿宋" w:hAnsi="仿宋" w:eastAsia="仿宋"/>
          <w:b w:val="0"/>
          <w:sz w:val="30"/>
        </w:rPr>
        <w:t>根据最新版起诉状，原告请求可以归纳为两类：第一，禁止科棚及其组织、指示、委托或者协助的人员在未经原告同意且无法律依据、授权依据或法定程序时进入涉案专有房屋，或者实施钻孔、凿墙、损坏门窗、控制出入口等侵入、毁损行为；第二，对有证据证明由科棚设置、堆放、损坏、控制、组织形成或者属于其管理范围的围挡、障碍、垃圾、排水和具体设施损坏，分别予以清除、移除、修复并恢复正常通行、排水和使用功能；诉讼费用由被告承担。</w:t>
      </w:r>
    </w:p>
    <w:p>
      <w:pPr>
        <w:spacing w:line="360" w:lineRule="auto" w:before="0" w:after="0"/>
        <w:ind w:firstLine="420"/>
        <w:jc w:val="both"/>
      </w:pPr>
      <w:r>
        <w:rPr>
          <w:rFonts w:ascii="仿宋" w:hAnsi="仿宋" w:eastAsia="仿宋"/>
          <w:b w:val="0"/>
          <w:sz w:val="30"/>
        </w:rPr>
        <w:t>因此，本案并非简单讨论原告是否反对危房鉴定。法院需要裁判的是：谁有权进入原告专有房屋，权限是否包括侵入性检测；科棚实际实施、组织或者控制了什么；目前还存在何种妨害；每一项妨害应由谁按何种明确标准排除或者恢复。</w:t>
      </w:r>
    </w:p>
    <w:p>
      <w:pPr>
        <w:spacing w:line="360" w:lineRule="auto" w:before="160" w:after="0"/>
        <w:ind w:firstLine="0"/>
        <w:jc w:val="both"/>
      </w:pPr>
      <w:r>
        <w:rPr>
          <w:rFonts w:ascii="仿宋" w:hAnsi="仿宋" w:eastAsia="仿宋"/>
          <w:b/>
          <w:sz w:val="32"/>
        </w:rPr>
        <w:t>四、原告各项诉讼请求的事实和证据基础</w:t>
      </w:r>
    </w:p>
    <w:tbl>
      <w:tblPr>
        <w:tblStyle w:val="TableGrid"/>
        <w:tblW w:type="auto" w:w="0"/>
        <w:jc w:val="center"/>
        <w:tblLayout w:type="autofit"/>
        <w:tblLook w:firstColumn="1" w:firstRow="1" w:lastColumn="0" w:lastRow="0" w:noHBand="0" w:noVBand="1" w:val="04A0"/>
      </w:tblPr>
      <w:tblGrid>
        <w:gridCol w:w="2154"/>
        <w:gridCol w:w="2154"/>
        <w:gridCol w:w="2154"/>
        <w:gridCol w:w="2154"/>
      </w:tblGrid>
      <w:tr>
        <w:tc>
          <w:tcPr>
            <w:tcW w:type="dxa" w:w="2154"/>
            <w:vAlign w:val="center"/>
            <w:shd w:fill="D9EAF7"/>
          </w:tcPr>
          <w:p>
            <w:pPr>
              <w:spacing w:line="276" w:lineRule="auto" w:before="20" w:after="20"/>
              <w:ind w:firstLine="0"/>
              <w:jc w:val="center"/>
            </w:pPr>
            <w:r/>
            <w:r>
              <w:rPr>
                <w:rFonts w:ascii="仿宋" w:hAnsi="仿宋" w:eastAsia="仿宋"/>
                <w:b/>
                <w:sz w:val="19"/>
              </w:rPr>
              <w:t>诉讼请求</w:t>
            </w:r>
          </w:p>
        </w:tc>
        <w:tc>
          <w:tcPr>
            <w:tcW w:type="dxa" w:w="2154"/>
            <w:vAlign w:val="center"/>
            <w:shd w:fill="D9EAF7"/>
          </w:tcPr>
          <w:p>
            <w:pPr>
              <w:spacing w:line="276" w:lineRule="auto" w:before="20" w:after="20"/>
              <w:ind w:firstLine="0"/>
              <w:jc w:val="center"/>
            </w:pPr>
            <w:r/>
            <w:r>
              <w:rPr>
                <w:rFonts w:ascii="仿宋" w:hAnsi="仿宋" w:eastAsia="仿宋"/>
                <w:b/>
                <w:sz w:val="19"/>
              </w:rPr>
              <w:t>现有关键事实</w:t>
            </w:r>
          </w:p>
        </w:tc>
        <w:tc>
          <w:tcPr>
            <w:tcW w:type="dxa" w:w="2154"/>
            <w:vAlign w:val="center"/>
            <w:shd w:fill="D9EAF7"/>
          </w:tcPr>
          <w:p>
            <w:pPr>
              <w:spacing w:line="276" w:lineRule="auto" w:before="20" w:after="20"/>
              <w:ind w:firstLine="0"/>
              <w:jc w:val="center"/>
            </w:pPr>
            <w:r/>
            <w:r>
              <w:rPr>
                <w:rFonts w:ascii="仿宋" w:hAnsi="仿宋" w:eastAsia="仿宋"/>
                <w:b/>
                <w:sz w:val="19"/>
              </w:rPr>
              <w:t>主要证据及页码</w:t>
            </w:r>
          </w:p>
        </w:tc>
        <w:tc>
          <w:tcPr>
            <w:tcW w:type="dxa" w:w="2154"/>
            <w:vAlign w:val="center"/>
            <w:shd w:fill="D9EAF7"/>
          </w:tcPr>
          <w:p>
            <w:pPr>
              <w:spacing w:line="276" w:lineRule="auto" w:before="20" w:after="20"/>
              <w:ind w:firstLine="0"/>
              <w:jc w:val="center"/>
            </w:pPr>
            <w:r/>
            <w:r>
              <w:rPr>
                <w:rFonts w:ascii="仿宋" w:hAnsi="仿宋" w:eastAsia="仿宋"/>
                <w:b/>
                <w:sz w:val="19"/>
              </w:rPr>
              <w:t>当前证明结论</w:t>
            </w:r>
          </w:p>
        </w:tc>
      </w:tr>
      <w:tr>
        <w:tc>
          <w:tcPr>
            <w:tcW w:type="dxa" w:w="2154"/>
            <w:vAlign w:val="center"/>
          </w:tcPr>
          <w:p>
            <w:pPr>
              <w:spacing w:line="276" w:lineRule="auto" w:before="20" w:after="20"/>
              <w:ind w:firstLine="0"/>
              <w:jc w:val="left"/>
            </w:pPr>
            <w:r/>
            <w:r>
              <w:rPr>
                <w:rFonts w:ascii="仿宋" w:hAnsi="仿宋" w:eastAsia="仿宋"/>
                <w:b w:val="0"/>
                <w:sz w:val="19"/>
              </w:rPr>
              <w:t>禁止无合法依据再次进入涉案专有房屋</w:t>
            </w:r>
          </w:p>
        </w:tc>
        <w:tc>
          <w:tcPr>
            <w:tcW w:type="dxa" w:w="2154"/>
            <w:vAlign w:val="center"/>
          </w:tcPr>
          <w:p>
            <w:pPr>
              <w:spacing w:line="276" w:lineRule="auto" w:before="20" w:after="20"/>
              <w:ind w:firstLine="0"/>
              <w:jc w:val="left"/>
            </w:pPr>
            <w:r/>
            <w:r>
              <w:rPr>
                <w:rFonts w:ascii="仿宋" w:hAnsi="仿宋" w:eastAsia="仿宋"/>
                <w:b w:val="0"/>
                <w:sz w:val="19"/>
              </w:rPr>
              <w:t>原告主张科棚相关人员已以鉴定名义进入</w:t>
            </w:r>
          </w:p>
        </w:tc>
        <w:tc>
          <w:tcPr>
            <w:tcW w:type="dxa" w:w="2154"/>
            <w:vAlign w:val="center"/>
          </w:tcPr>
          <w:p>
            <w:pPr>
              <w:spacing w:line="276" w:lineRule="auto" w:before="20" w:after="20"/>
              <w:ind w:firstLine="0"/>
              <w:jc w:val="left"/>
            </w:pPr>
            <w:r/>
            <w:r>
              <w:rPr>
                <w:rFonts w:ascii="仿宋" w:hAnsi="仿宋" w:eastAsia="仿宋"/>
                <w:b w:val="0"/>
                <w:sz w:val="19"/>
              </w:rPr>
              <w:t>证据2《报警回执单》【待编页码】；证据3现场照片、视频【待编页码】</w:t>
            </w:r>
          </w:p>
        </w:tc>
        <w:tc>
          <w:tcPr>
            <w:tcW w:type="dxa" w:w="2154"/>
            <w:vAlign w:val="center"/>
          </w:tcPr>
          <w:p>
            <w:pPr>
              <w:spacing w:line="276" w:lineRule="auto" w:before="20" w:after="20"/>
              <w:ind w:firstLine="0"/>
              <w:jc w:val="left"/>
            </w:pPr>
            <w:r/>
            <w:r>
              <w:rPr>
                <w:rFonts w:ascii="仿宋" w:hAnsi="仿宋" w:eastAsia="仿宋"/>
                <w:b w:val="0"/>
                <w:sz w:val="19"/>
              </w:rPr>
              <w:t>报警与损坏外观已有线索；进入过程、行为人身份和公司归属须由原始视听、公安及派工材料闭合</w:t>
            </w:r>
          </w:p>
        </w:tc>
      </w:tr>
      <w:tr>
        <w:tc>
          <w:tcPr>
            <w:tcW w:type="dxa" w:w="2154"/>
            <w:vAlign w:val="center"/>
          </w:tcPr>
          <w:p>
            <w:pPr>
              <w:spacing w:line="276" w:lineRule="auto" w:before="20" w:after="20"/>
              <w:ind w:firstLine="0"/>
              <w:jc w:val="left"/>
            </w:pPr>
            <w:r/>
            <w:r>
              <w:rPr>
                <w:rFonts w:ascii="仿宋" w:hAnsi="仿宋" w:eastAsia="仿宋"/>
                <w:b w:val="0"/>
                <w:sz w:val="19"/>
              </w:rPr>
              <w:t>禁止再次钻孔、凿墙等侵入性行为</w:t>
            </w:r>
          </w:p>
        </w:tc>
        <w:tc>
          <w:tcPr>
            <w:tcW w:type="dxa" w:w="2154"/>
            <w:vAlign w:val="center"/>
          </w:tcPr>
          <w:p>
            <w:pPr>
              <w:spacing w:line="276" w:lineRule="auto" w:before="20" w:after="20"/>
              <w:ind w:firstLine="0"/>
              <w:jc w:val="left"/>
            </w:pPr>
            <w:r/>
            <w:r>
              <w:rPr>
                <w:rFonts w:ascii="仿宋" w:hAnsi="仿宋" w:eastAsia="仿宋"/>
                <w:b w:val="0"/>
                <w:sz w:val="19"/>
              </w:rPr>
              <w:t>墙体存在孔洞、沟槽和凿损外观</w:t>
            </w:r>
          </w:p>
        </w:tc>
        <w:tc>
          <w:tcPr>
            <w:tcW w:type="dxa" w:w="2154"/>
            <w:vAlign w:val="center"/>
          </w:tcPr>
          <w:p>
            <w:pPr>
              <w:spacing w:line="276" w:lineRule="auto" w:before="20" w:after="20"/>
              <w:ind w:firstLine="0"/>
              <w:jc w:val="left"/>
            </w:pPr>
            <w:r/>
            <w:r>
              <w:rPr>
                <w:rFonts w:ascii="仿宋" w:hAnsi="仿宋" w:eastAsia="仿宋"/>
                <w:b w:val="0"/>
                <w:sz w:val="19"/>
              </w:rPr>
              <w:t>证据3《墙体损坏现场照片、视频》【待编页码】</w:t>
            </w:r>
          </w:p>
        </w:tc>
        <w:tc>
          <w:tcPr>
            <w:tcW w:type="dxa" w:w="2154"/>
            <w:vAlign w:val="center"/>
          </w:tcPr>
          <w:p>
            <w:pPr>
              <w:spacing w:line="276" w:lineRule="auto" w:before="20" w:after="20"/>
              <w:ind w:firstLine="0"/>
              <w:jc w:val="left"/>
            </w:pPr>
            <w:r/>
            <w:r>
              <w:rPr>
                <w:rFonts w:ascii="仿宋" w:hAnsi="仿宋" w:eastAsia="仿宋"/>
                <w:b w:val="0"/>
                <w:sz w:val="19"/>
              </w:rPr>
              <w:t>能证明外观；具体点位、形成时间、实施人和因果关系需补强</w:t>
            </w:r>
          </w:p>
        </w:tc>
      </w:tr>
      <w:tr>
        <w:tc>
          <w:tcPr>
            <w:tcW w:type="dxa" w:w="2154"/>
            <w:vAlign w:val="center"/>
          </w:tcPr>
          <w:p>
            <w:pPr>
              <w:spacing w:line="276" w:lineRule="auto" w:before="20" w:after="20"/>
              <w:ind w:firstLine="0"/>
              <w:jc w:val="left"/>
            </w:pPr>
            <w:r/>
            <w:r>
              <w:rPr>
                <w:rFonts w:ascii="仿宋" w:hAnsi="仿宋" w:eastAsia="仿宋"/>
                <w:b w:val="0"/>
                <w:sz w:val="19"/>
              </w:rPr>
              <w:t>修复具体墙体或设施损坏</w:t>
            </w:r>
          </w:p>
        </w:tc>
        <w:tc>
          <w:tcPr>
            <w:tcW w:type="dxa" w:w="2154"/>
            <w:vAlign w:val="center"/>
          </w:tcPr>
          <w:p>
            <w:pPr>
              <w:spacing w:line="276" w:lineRule="auto" w:before="20" w:after="20"/>
              <w:ind w:firstLine="0"/>
              <w:jc w:val="left"/>
            </w:pPr>
            <w:r/>
            <w:r>
              <w:rPr>
                <w:rFonts w:ascii="仿宋" w:hAnsi="仿宋" w:eastAsia="仿宋"/>
                <w:b w:val="0"/>
                <w:sz w:val="19"/>
              </w:rPr>
              <w:t>原告主张相关损坏因涉案检测形成</w:t>
            </w:r>
          </w:p>
        </w:tc>
        <w:tc>
          <w:tcPr>
            <w:tcW w:type="dxa" w:w="2154"/>
            <w:vAlign w:val="center"/>
          </w:tcPr>
          <w:p>
            <w:pPr>
              <w:spacing w:line="276" w:lineRule="auto" w:before="20" w:after="20"/>
              <w:ind w:firstLine="0"/>
              <w:jc w:val="left"/>
            </w:pPr>
            <w:r/>
            <w:r>
              <w:rPr>
                <w:rFonts w:ascii="仿宋" w:hAnsi="仿宋" w:eastAsia="仿宋"/>
                <w:b w:val="0"/>
                <w:sz w:val="19"/>
              </w:rPr>
              <w:t>证据3；鉴定方案、进场记录、损坏前资料【证据缺口】</w:t>
            </w:r>
          </w:p>
        </w:tc>
        <w:tc>
          <w:tcPr>
            <w:tcW w:type="dxa" w:w="2154"/>
            <w:vAlign w:val="center"/>
          </w:tcPr>
          <w:p>
            <w:pPr>
              <w:spacing w:line="276" w:lineRule="auto" w:before="20" w:after="20"/>
              <w:ind w:firstLine="0"/>
              <w:jc w:val="left"/>
            </w:pPr>
            <w:r/>
            <w:r>
              <w:rPr>
                <w:rFonts w:ascii="仿宋" w:hAnsi="仿宋" w:eastAsia="仿宋"/>
                <w:b w:val="0"/>
                <w:sz w:val="19"/>
              </w:rPr>
              <w:t>只有把损坏点位、责任人、因果关系、修复方式和验收标准具体化，才能形成可执行判项</w:t>
            </w:r>
          </w:p>
        </w:tc>
      </w:tr>
      <w:tr>
        <w:tc>
          <w:tcPr>
            <w:tcW w:type="dxa" w:w="2154"/>
            <w:vAlign w:val="center"/>
          </w:tcPr>
          <w:p>
            <w:pPr>
              <w:spacing w:line="276" w:lineRule="auto" w:before="20" w:after="20"/>
              <w:ind w:firstLine="0"/>
              <w:jc w:val="left"/>
            </w:pPr>
            <w:r/>
            <w:r>
              <w:rPr>
                <w:rFonts w:ascii="仿宋" w:hAnsi="仿宋" w:eastAsia="仿宋"/>
                <w:b w:val="0"/>
                <w:sz w:val="19"/>
              </w:rPr>
              <w:t>移除围挡、恢复通行</w:t>
            </w:r>
          </w:p>
        </w:tc>
        <w:tc>
          <w:tcPr>
            <w:tcW w:type="dxa" w:w="2154"/>
            <w:vAlign w:val="center"/>
          </w:tcPr>
          <w:p>
            <w:pPr>
              <w:spacing w:line="276" w:lineRule="auto" w:before="20" w:after="20"/>
              <w:ind w:firstLine="0"/>
              <w:jc w:val="left"/>
            </w:pPr>
            <w:r/>
            <w:r>
              <w:rPr>
                <w:rFonts w:ascii="仿宋" w:hAnsi="仿宋" w:eastAsia="仿宋"/>
                <w:b w:val="0"/>
                <w:sz w:val="19"/>
              </w:rPr>
              <w:t>照片反映拍摄时存在绿色围挡</w:t>
            </w:r>
          </w:p>
        </w:tc>
        <w:tc>
          <w:tcPr>
            <w:tcW w:type="dxa" w:w="2154"/>
            <w:vAlign w:val="center"/>
          </w:tcPr>
          <w:p>
            <w:pPr>
              <w:spacing w:line="276" w:lineRule="auto" w:before="20" w:after="20"/>
              <w:ind w:firstLine="0"/>
              <w:jc w:val="left"/>
            </w:pPr>
            <w:r/>
            <w:r>
              <w:rPr>
                <w:rFonts w:ascii="仿宋" w:hAnsi="仿宋" w:eastAsia="仿宋"/>
                <w:b w:val="0"/>
                <w:sz w:val="19"/>
              </w:rPr>
              <w:t>证据4《一楼大门、通道及现场照片、视频》【待编页码】</w:t>
            </w:r>
          </w:p>
        </w:tc>
        <w:tc>
          <w:tcPr>
            <w:tcW w:type="dxa" w:w="2154"/>
            <w:vAlign w:val="center"/>
          </w:tcPr>
          <w:p>
            <w:pPr>
              <w:spacing w:line="276" w:lineRule="auto" w:before="20" w:after="20"/>
              <w:ind w:firstLine="0"/>
              <w:jc w:val="left"/>
            </w:pPr>
            <w:r/>
            <w:r>
              <w:rPr>
                <w:rFonts w:ascii="仿宋" w:hAnsi="仿宋" w:eastAsia="仿宋"/>
                <w:b w:val="0"/>
                <w:sz w:val="19"/>
              </w:rPr>
              <w:t>需补最新现状、出入口关系、通行宽度及设置、控制主体</w:t>
            </w:r>
          </w:p>
        </w:tc>
      </w:tr>
      <w:tr>
        <w:tc>
          <w:tcPr>
            <w:tcW w:type="dxa" w:w="2154"/>
            <w:vAlign w:val="center"/>
          </w:tcPr>
          <w:p>
            <w:pPr>
              <w:spacing w:line="276" w:lineRule="auto" w:before="20" w:after="20"/>
              <w:ind w:firstLine="0"/>
              <w:jc w:val="left"/>
            </w:pPr>
            <w:r/>
            <w:r>
              <w:rPr>
                <w:rFonts w:ascii="仿宋" w:hAnsi="仿宋" w:eastAsia="仿宋"/>
                <w:b w:val="0"/>
                <w:sz w:val="19"/>
              </w:rPr>
              <w:t>清除剩余建筑垃圾</w:t>
            </w:r>
          </w:p>
        </w:tc>
        <w:tc>
          <w:tcPr>
            <w:tcW w:type="dxa" w:w="2154"/>
            <w:vAlign w:val="center"/>
          </w:tcPr>
          <w:p>
            <w:pPr>
              <w:spacing w:line="276" w:lineRule="auto" w:before="20" w:after="20"/>
              <w:ind w:firstLine="0"/>
              <w:jc w:val="left"/>
            </w:pPr>
            <w:r/>
            <w:r>
              <w:rPr>
                <w:rFonts w:ascii="仿宋" w:hAnsi="仿宋" w:eastAsia="仿宋"/>
                <w:b w:val="0"/>
                <w:sz w:val="19"/>
              </w:rPr>
              <w:t>墙体照片可见局部凿损碎屑；原告主张另有建筑垃圾</w:t>
            </w:r>
          </w:p>
        </w:tc>
        <w:tc>
          <w:tcPr>
            <w:tcW w:type="dxa" w:w="2154"/>
            <w:vAlign w:val="center"/>
          </w:tcPr>
          <w:p>
            <w:pPr>
              <w:spacing w:line="276" w:lineRule="auto" w:before="20" w:after="20"/>
              <w:ind w:firstLine="0"/>
              <w:jc w:val="left"/>
            </w:pPr>
            <w:r/>
            <w:r>
              <w:rPr>
                <w:rFonts w:ascii="仿宋" w:hAnsi="仿宋" w:eastAsia="仿宋"/>
                <w:b w:val="0"/>
                <w:sz w:val="19"/>
              </w:rPr>
              <w:t>证据3；全楼最新连续影像【证据缺口】</w:t>
            </w:r>
          </w:p>
        </w:tc>
        <w:tc>
          <w:tcPr>
            <w:tcW w:type="dxa" w:w="2154"/>
            <w:vAlign w:val="center"/>
          </w:tcPr>
          <w:p>
            <w:pPr>
              <w:spacing w:line="276" w:lineRule="auto" w:before="20" w:after="20"/>
              <w:ind w:firstLine="0"/>
              <w:jc w:val="left"/>
            </w:pPr>
            <w:r/>
            <w:r>
              <w:rPr>
                <w:rFonts w:ascii="仿宋" w:hAnsi="仿宋" w:eastAsia="仿宋"/>
                <w:b w:val="0"/>
                <w:sz w:val="19"/>
              </w:rPr>
              <w:t>局部碎屑不等于已证明整栋建筑垃圾及科棚责任，需补数量、位置、来源和控制关系</w:t>
            </w:r>
          </w:p>
        </w:tc>
      </w:tr>
      <w:tr>
        <w:tc>
          <w:tcPr>
            <w:tcW w:type="dxa" w:w="2154"/>
            <w:vAlign w:val="center"/>
          </w:tcPr>
          <w:p>
            <w:pPr>
              <w:spacing w:line="276" w:lineRule="auto" w:before="20" w:after="20"/>
              <w:ind w:firstLine="0"/>
              <w:jc w:val="left"/>
            </w:pPr>
            <w:r/>
            <w:r>
              <w:rPr>
                <w:rFonts w:ascii="仿宋" w:hAnsi="仿宋" w:eastAsia="仿宋"/>
                <w:b w:val="0"/>
                <w:sz w:val="19"/>
              </w:rPr>
              <w:t>修复下水道、恢复正常排水</w:t>
            </w:r>
          </w:p>
        </w:tc>
        <w:tc>
          <w:tcPr>
            <w:tcW w:type="dxa" w:w="2154"/>
            <w:vAlign w:val="center"/>
          </w:tcPr>
          <w:p>
            <w:pPr>
              <w:spacing w:line="276" w:lineRule="auto" w:before="20" w:after="20"/>
              <w:ind w:firstLine="0"/>
              <w:jc w:val="left"/>
            </w:pPr>
            <w:r/>
            <w:r>
              <w:rPr>
                <w:rFonts w:ascii="仿宋" w:hAnsi="仿宋" w:eastAsia="仿宋"/>
                <w:b w:val="0"/>
                <w:sz w:val="19"/>
              </w:rPr>
              <w:t>原告主张排水设施损坏、封堵或者失效</w:t>
            </w:r>
          </w:p>
        </w:tc>
        <w:tc>
          <w:tcPr>
            <w:tcW w:type="dxa" w:w="2154"/>
            <w:vAlign w:val="center"/>
          </w:tcPr>
          <w:p>
            <w:pPr>
              <w:spacing w:line="276" w:lineRule="auto" w:before="20" w:after="20"/>
              <w:ind w:firstLine="0"/>
              <w:jc w:val="left"/>
            </w:pPr>
            <w:r/>
            <w:r>
              <w:rPr>
                <w:rFonts w:ascii="仿宋" w:hAnsi="仿宋" w:eastAsia="仿宋"/>
                <w:b w:val="0"/>
                <w:sz w:val="19"/>
              </w:rPr>
              <w:t>管线、堵点、通水或闭水试验、施工痕迹【证据缺口】</w:t>
            </w:r>
          </w:p>
        </w:tc>
        <w:tc>
          <w:tcPr>
            <w:tcW w:type="dxa" w:w="2154"/>
            <w:vAlign w:val="center"/>
          </w:tcPr>
          <w:p>
            <w:pPr>
              <w:spacing w:line="276" w:lineRule="auto" w:before="20" w:after="20"/>
              <w:ind w:firstLine="0"/>
              <w:jc w:val="left"/>
            </w:pPr>
            <w:r/>
            <w:r>
              <w:rPr>
                <w:rFonts w:ascii="仿宋" w:hAnsi="仿宋" w:eastAsia="仿宋"/>
                <w:b w:val="0"/>
                <w:sz w:val="19"/>
              </w:rPr>
              <w:t>当前证据不足；补齐原状态、现状态、责任行为、因果关系和功能标准后再作核心主张</w:t>
            </w:r>
          </w:p>
        </w:tc>
      </w:tr>
      <w:tr>
        <w:tc>
          <w:tcPr>
            <w:tcW w:type="dxa" w:w="2154"/>
            <w:vAlign w:val="center"/>
          </w:tcPr>
          <w:p>
            <w:pPr>
              <w:spacing w:line="276" w:lineRule="auto" w:before="20" w:after="20"/>
              <w:ind w:firstLine="0"/>
              <w:jc w:val="left"/>
            </w:pPr>
            <w:r/>
            <w:r>
              <w:rPr>
                <w:rFonts w:ascii="仿宋" w:hAnsi="仿宋" w:eastAsia="仿宋"/>
                <w:b w:val="0"/>
                <w:sz w:val="19"/>
              </w:rPr>
              <w:t>证明科棚不是无关主体</w:t>
            </w:r>
          </w:p>
        </w:tc>
        <w:tc>
          <w:tcPr>
            <w:tcW w:type="dxa" w:w="2154"/>
            <w:vAlign w:val="center"/>
          </w:tcPr>
          <w:p>
            <w:pPr>
              <w:spacing w:line="276" w:lineRule="auto" w:before="20" w:after="20"/>
              <w:ind w:firstLine="0"/>
              <w:jc w:val="left"/>
            </w:pPr>
            <w:r/>
            <w:r>
              <w:rPr>
                <w:rFonts w:ascii="仿宋" w:hAnsi="仿宋" w:eastAsia="仿宋"/>
                <w:b w:val="0"/>
                <w:sz w:val="19"/>
              </w:rPr>
              <w:t>原告主张其相关人员实际进场；科棚主体客观存在</w:t>
            </w:r>
          </w:p>
        </w:tc>
        <w:tc>
          <w:tcPr>
            <w:tcW w:type="dxa" w:w="2154"/>
            <w:vAlign w:val="center"/>
          </w:tcPr>
          <w:p>
            <w:pPr>
              <w:spacing w:line="276" w:lineRule="auto" w:before="20" w:after="20"/>
              <w:ind w:firstLine="0"/>
              <w:jc w:val="left"/>
            </w:pPr>
            <w:r/>
            <w:r>
              <w:rPr>
                <w:rFonts w:ascii="仿宋" w:hAnsi="仿宋" w:eastAsia="仿宋"/>
                <w:b w:val="0"/>
                <w:sz w:val="19"/>
              </w:rPr>
              <w:t>证据3；证据5《科棚公司工商登记信息》；派工、委托、接处警、原始视频【证据缺口】</w:t>
            </w:r>
          </w:p>
        </w:tc>
        <w:tc>
          <w:tcPr>
            <w:tcW w:type="dxa" w:w="2154"/>
            <w:vAlign w:val="center"/>
          </w:tcPr>
          <w:p>
            <w:pPr>
              <w:spacing w:line="276" w:lineRule="auto" w:before="20" w:after="20"/>
              <w:ind w:firstLine="0"/>
              <w:jc w:val="left"/>
            </w:pPr>
            <w:r/>
            <w:r>
              <w:rPr>
                <w:rFonts w:ascii="仿宋" w:hAnsi="仿宋" w:eastAsia="仿宋"/>
                <w:b w:val="0"/>
                <w:sz w:val="19"/>
              </w:rPr>
              <w:t>科棚的直接行为若被查明，即足以支持其对直接妨害承担责任；工商关联本身不能替代行为和授权证据</w:t>
            </w:r>
          </w:p>
        </w:tc>
      </w:tr>
    </w:tbl>
    <w:p>
      <w:pPr>
        <w:spacing w:line="360" w:lineRule="auto" w:before="160" w:after="0"/>
        <w:ind w:firstLine="0"/>
        <w:jc w:val="both"/>
      </w:pPr>
      <w:r>
        <w:rPr>
          <w:rFonts w:ascii="仿宋" w:hAnsi="仿宋" w:eastAsia="仿宋"/>
          <w:b/>
          <w:sz w:val="32"/>
        </w:rPr>
        <w:t>五、原告起诉科棚具有事实依据，并非基于股权关联随意选择被告</w:t>
      </w:r>
    </w:p>
    <w:p>
      <w:pPr>
        <w:spacing w:line="360" w:lineRule="auto" w:before="0" w:after="0"/>
        <w:ind w:firstLine="420"/>
        <w:jc w:val="both"/>
      </w:pPr>
      <w:r>
        <w:rPr>
          <w:rFonts w:ascii="仿宋" w:hAnsi="仿宋" w:eastAsia="仿宋"/>
          <w:b w:val="0"/>
          <w:sz w:val="30"/>
        </w:rPr>
        <w:t>排除妨害责任首先取决于谁实施、组织、指示、控制或者维持妨害，而不只取决于谁是整栋楼的长期管理主体。原告起诉科棚的依据，是其主张科棚相关人员实际参与进入、鉴定及侵入性现场行为，而不是因为科棚与其他公司存在股权关联。</w:t>
      </w:r>
    </w:p>
    <w:p>
      <w:pPr>
        <w:spacing w:line="360" w:lineRule="auto" w:before="0" w:after="0"/>
        <w:ind w:firstLine="420"/>
        <w:jc w:val="both"/>
      </w:pPr>
      <w:r>
        <w:rPr>
          <w:rFonts w:ascii="仿宋" w:hAnsi="仿宋" w:eastAsia="仿宋"/>
          <w:b w:val="0"/>
          <w:sz w:val="30"/>
        </w:rPr>
        <w:t>如原始视频、公安材料、鉴定委托、派工记录或者现场人员陈述能够证明科棚组织或实施入户、钻孔、凿损，科棚即是该部分直接行为的适格被告；即使另有主体负担长期楼栋管理职责，也不消灭科棚对其自身行为所负的停止、排除和修复责任。反之，潘某的身份、授权及2026年任务关系尚未被原件证明，不能只凭2025年的交易谈判授权，将其以后所有行为当然归于科棚。</w:t>
      </w:r>
    </w:p>
    <w:p>
      <w:pPr>
        <w:spacing w:line="360" w:lineRule="auto" w:before="0" w:after="0"/>
        <w:ind w:firstLine="420"/>
        <w:jc w:val="both"/>
      </w:pPr>
      <w:r>
        <w:rPr>
          <w:rFonts w:ascii="仿宋" w:hAnsi="仿宋" w:eastAsia="仿宋"/>
          <w:b w:val="0"/>
          <w:sz w:val="30"/>
        </w:rPr>
        <w:t>生效裁判确认开福棚改投在相关审批下对楼栋承担具体改造义务，该审批在依法撤销前可作为其管理、改造楼栋的依据。【补充证据A：（2023）湘8601行初1133号行政判决书，第6、10页；（2023）湘01行终922号行政判决书，第12页】截至本意见形成之日，现有起诉材料显示开福棚改投尚未被追加为被告。上述管理职责与科棚是否对自己的具体行为负责，是两个层次的问题：前者不能自动赋予科棚管理权，也不能当然排除科棚作为直接行为人的责任；对于超出科棚自身行为、授权、实际控制范围的长期公共区域事项，则应按最终查明的责任主体处理。</w:t>
      </w:r>
    </w:p>
    <w:p>
      <w:pPr>
        <w:spacing w:line="360" w:lineRule="auto" w:before="160" w:after="0"/>
        <w:ind w:firstLine="0"/>
        <w:jc w:val="both"/>
      </w:pPr>
      <w:r>
        <w:rPr>
          <w:rFonts w:ascii="仿宋" w:hAnsi="仿宋" w:eastAsia="仿宋"/>
          <w:b/>
          <w:sz w:val="32"/>
        </w:rPr>
        <w:t>六、被告如主张其有权进入实施危房鉴定，应说明权限来源和范围</w:t>
      </w:r>
    </w:p>
    <w:p>
      <w:pPr>
        <w:spacing w:line="360" w:lineRule="auto" w:before="0" w:after="0"/>
        <w:ind w:firstLine="420"/>
        <w:jc w:val="both"/>
      </w:pPr>
      <w:r>
        <w:rPr>
          <w:rFonts w:ascii="仿宋" w:hAnsi="仿宋" w:eastAsia="仿宋"/>
          <w:b w:val="0"/>
          <w:sz w:val="30"/>
        </w:rPr>
        <w:t>科棚不是涉案房屋登记产权人。若其主张进入、鉴定行为合法，应当说明并举证：权利是来自法律直接规定，还是来自有权管理主体的委托；谁委托鉴定、谁签约和付款、谁通知进场；授权是否包括科棚及具体现场人员；是否允许进入原告专有房屋；是否进一步允许钻孔、凿墙、取样等侵入性检测；具体检测点位、方法和程度是否必要、适当。</w:t>
      </w:r>
    </w:p>
    <w:p>
      <w:pPr>
        <w:spacing w:line="360" w:lineRule="auto" w:before="0" w:after="0"/>
        <w:ind w:firstLine="420"/>
        <w:jc w:val="both"/>
      </w:pPr>
      <w:r>
        <w:rPr>
          <w:rFonts w:ascii="仿宋" w:hAnsi="仿宋" w:eastAsia="仿宋"/>
          <w:b w:val="0"/>
          <w:sz w:val="30"/>
        </w:rPr>
        <w:t>共有楼道、外墙等部位的必要安全检查，与进入原告专有房屋并实施侵入性检测，并非同一层级的权利干预。原告不反对有权主体依法、依约并按必要限度开展安全管理，但“危房鉴定”四个字不能替代产权人同意、明确授权、法定程序、检测必要性和实施范围的证明。</w:t>
      </w:r>
    </w:p>
    <w:p>
      <w:pPr>
        <w:spacing w:line="360" w:lineRule="auto" w:before="0" w:after="0"/>
        <w:ind w:firstLine="420"/>
        <w:jc w:val="both"/>
      </w:pPr>
      <w:r>
        <w:rPr>
          <w:rFonts w:ascii="仿宋" w:hAnsi="仿宋" w:eastAsia="仿宋"/>
          <w:b w:val="0"/>
          <w:sz w:val="30"/>
        </w:rPr>
        <w:t>被告不能在解释进入行为时主张自己具有管理、受托管理、安全管理或者鉴定组织权限，而在原告要求其排除自身行为或者权限范围内形成的妨害时，又绝对主张自己与楼栋事务毫无关系。原告也不主张“有权鉴定即承担整栋楼全部历史管理责任”；科棚的具体责任仍应根据其实际行为、授权范围、控制能力和因果关系逐项认定。</w:t>
      </w:r>
    </w:p>
    <w:p>
      <w:pPr>
        <w:spacing w:line="360" w:lineRule="auto" w:before="160" w:after="0"/>
        <w:ind w:firstLine="0"/>
        <w:jc w:val="both"/>
      </w:pPr>
      <w:r>
        <w:rPr>
          <w:rFonts w:ascii="仿宋" w:hAnsi="仿宋" w:eastAsia="仿宋"/>
          <w:b/>
          <w:sz w:val="32"/>
        </w:rPr>
        <w:t>七、对仍然存在的现实妨害及能够归责的毁损，应依法排除、修复和恢复</w:t>
      </w:r>
    </w:p>
    <w:p>
      <w:pPr>
        <w:spacing w:line="360" w:lineRule="auto" w:before="0" w:after="0"/>
        <w:ind w:firstLine="420"/>
        <w:jc w:val="both"/>
      </w:pPr>
      <w:r>
        <w:rPr>
          <w:rFonts w:ascii="仿宋" w:hAnsi="仿宋" w:eastAsia="仿宋"/>
          <w:b w:val="0"/>
          <w:sz w:val="30"/>
        </w:rPr>
        <w:t>《中华人民共和国民法典》第二百三十六条规定，妨害物权或者可能妨害物权的，权利人可以请求排除妨害或者消除危险；第二百三十七条规定，造成不动产毁损的，权利人可以依法请求修理、重作、更换或者恢复原状。</w:t>
      </w:r>
    </w:p>
    <w:p>
      <w:pPr>
        <w:spacing w:line="360" w:lineRule="auto" w:before="0" w:after="0"/>
        <w:ind w:firstLine="420"/>
        <w:jc w:val="both"/>
      </w:pPr>
      <w:r>
        <w:rPr>
          <w:rFonts w:ascii="仿宋" w:hAnsi="仿宋" w:eastAsia="仿宋"/>
          <w:b w:val="0"/>
          <w:sz w:val="30"/>
        </w:rPr>
        <w:t>据此，对开庭时仍然存在、能够确定位置和责任主体的围挡、垃圾、通行和排水障碍，应作出具体排除或者功能恢复判项；对能够证明由科棚或其组织、指示、委托人员造成的孔洞、凿损、门窗或者设施毁损，应明确修复点位、措施、期限和验收标准。已经清除的生活垃圾不重复判决；原因不明的自然老化、历史失修或者其他主体行为，也不应强行归责科棚。</w:t>
      </w:r>
    </w:p>
    <w:p>
      <w:pPr>
        <w:spacing w:line="360" w:lineRule="auto" w:before="0" w:after="0"/>
        <w:ind w:firstLine="420"/>
        <w:jc w:val="both"/>
      </w:pPr>
      <w:r>
        <w:rPr>
          <w:rFonts w:ascii="仿宋" w:hAnsi="仿宋" w:eastAsia="仿宋"/>
          <w:b w:val="0"/>
          <w:sz w:val="30"/>
        </w:rPr>
        <w:t>本案判项宜从“恢复原状”的概括用语转化为可执行内容，例如：在确定点位限期修补孔洞和凿损面并恢复基本完整、平整和正常使用功能；移除由责任主体设置或者控制且实际阻碍必要通行的围挡；清除特定位置、特定范围的建筑垃圾；修复确定堵点或损坏点并经通水测试恢复正常排水。具体项目以庭审质证、现场勘验和补充证据查明的事实为准。</w:t>
      </w:r>
    </w:p>
    <w:p>
      <w:pPr>
        <w:spacing w:line="360" w:lineRule="auto" w:before="160" w:after="0"/>
        <w:ind w:firstLine="0"/>
        <w:jc w:val="both"/>
      </w:pPr>
      <w:r>
        <w:rPr>
          <w:rFonts w:ascii="仿宋" w:hAnsi="仿宋" w:eastAsia="仿宋"/>
          <w:b/>
          <w:sz w:val="32"/>
        </w:rPr>
        <w:t>结论</w:t>
      </w:r>
    </w:p>
    <w:p>
      <w:pPr>
        <w:spacing w:line="360" w:lineRule="auto" w:before="0" w:after="0"/>
        <w:ind w:firstLine="420"/>
        <w:jc w:val="both"/>
      </w:pPr>
      <w:r>
        <w:rPr>
          <w:rFonts w:ascii="仿宋" w:hAnsi="仿宋" w:eastAsia="仿宋"/>
          <w:b w:val="0"/>
          <w:sz w:val="30"/>
        </w:rPr>
        <w:t>原告的物权基础已有生效裁判和权属证据线索支持；科棚是否实际参与入户、鉴定和侵入性行为，应以原始视听资料、公安材料、鉴定委托及派工资料查明。若上述行为归属于科棚，其不能以另有楼栋管理主体为由免除对自身行为的责任；其若主张有权进入，则必须证明权限来源、人员范围和侵入性检测边界。请法院对已经有充分证据、责任主体明确且执行标准可具体化的诉讼请求依法予以支持，并对证据尚未闭合的长期楼栋事项按照实际行为、授权、控制和因果关系分别认定。</w:t>
      </w:r>
    </w:p>
    <w:p>
      <w:pPr>
        <w:spacing w:line="360" w:lineRule="auto" w:before="0" w:after="0"/>
        <w:ind w:firstLine="420"/>
        <w:jc w:val="both"/>
      </w:pPr>
      <w:r>
        <w:rPr>
          <w:rFonts w:ascii="仿宋" w:hAnsi="仿宋" w:eastAsia="仿宋"/>
          <w:b w:val="0"/>
          <w:sz w:val="30"/>
        </w:rPr>
        <w:t>此致</w:t>
      </w:r>
    </w:p>
    <w:p>
      <w:pPr>
        <w:spacing w:line="360" w:lineRule="auto" w:before="0" w:after="0"/>
        <w:ind w:firstLine="420"/>
        <w:jc w:val="both"/>
      </w:pPr>
      <w:r>
        <w:rPr>
          <w:rFonts w:ascii="仿宋" w:hAnsi="仿宋" w:eastAsia="仿宋"/>
          <w:b w:val="0"/>
          <w:sz w:val="30"/>
        </w:rPr>
        <w:t>长沙市开福区人民法院</w:t>
      </w:r>
    </w:p>
    <w:p>
      <w:pPr>
        <w:spacing w:line="360" w:lineRule="auto" w:before="0" w:after="0"/>
        <w:ind w:firstLine="420"/>
        <w:jc w:val="both"/>
      </w:pPr>
      <w:r>
        <w:rPr>
          <w:rFonts w:ascii="仿宋" w:hAnsi="仿宋" w:eastAsia="仿宋"/>
          <w:b w:val="0"/>
          <w:sz w:val="30"/>
        </w:rPr>
        <w:t>原告委托诉讼代理人：【待核】</w:t>
      </w:r>
    </w:p>
    <w:p>
      <w:pPr>
        <w:spacing w:line="360" w:lineRule="auto" w:before="0" w:after="0"/>
        <w:ind w:firstLine="420"/>
        <w:jc w:val="both"/>
      </w:pPr>
      <w:r>
        <w:rPr>
          <w:rFonts w:ascii="仿宋" w:hAnsi="仿宋" w:eastAsia="仿宋"/>
          <w:b w:val="0"/>
          <w:sz w:val="30"/>
        </w:rPr>
        <w:t>2026年8月【　】日</w:t>
      </w:r>
    </w:p>
    <w:sectPr w:rsidR="00FC693F" w:rsidRPr="0006063C" w:rsidSect="00034616">
      <w:footerReference w:type="default" r:id="rId9"/>
      <w:pgSz w:w="11906" w:h="16838"/>
      <w:pgMar w:top="1587" w:right="1587" w:bottom="1417" w:left="1701" w:header="720"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仿宋" w:hAnsi="仿宋" w:eastAsia="仿宋"/>
        <w:sz w:val="21"/>
      </w:rPr>
      <w:t xml:space="preserve">第 </w:t>
      <w:fldChar w:fldCharType="begin"/>
      <w:instrText xml:space="preserve"> PAGE </w:instrText>
      <w:fldChar w:fldCharType="separate"/>
      <w:fldChar w:fldCharType="end"/>
    </w:r>
    <w:r>
      <w:rPr>
        <w:rFonts w:ascii="仿宋" w:hAnsi="仿宋" w:eastAsia="仿宋"/>
        <w:sz w:val="21"/>
      </w:rPr>
      <w:t xml:space="preserve"> 页</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before="0" w:after="0"/>
      <w:ind w:firstLine="420"/>
      <w:jc w:val="both"/>
    </w:pPr>
    <w:rPr>
      <w:rFonts w:ascii="仿宋" w:hAnsi="仿宋" w:eastAsia="仿宋"/>
      <w:sz w:val="3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