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firstLine="0"/>
        <w:jc w:val="center"/>
      </w:pPr>
      <w:r>
        <w:rPr>
          <w:rFonts w:ascii="宋体" w:hAnsi="宋体" w:eastAsia="宋体"/>
          <w:b/>
          <w:sz w:val="44"/>
        </w:rPr>
        <w:t>原告书面质证意见框架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案号：【请按受理通知书或传票填写】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案由：排除妨害纠纷</w:t>
      </w:r>
    </w:p>
    <w:p>
      <w:r>
        <w:rPr>
          <w:rFonts w:ascii="仿宋" w:hAnsi="仿宋" w:eastAsia="仿宋"/>
          <w:b w:val="0"/>
          <w:sz w:val="30"/>
        </w:rPr>
        <w:t>说明：截至本稿形成时，本地案件材料中未见被告完整答辩状及全套证据。本文件是庭审使用的质证框架，不虚构被告证据名称、页码或内容。收到被告证据后，应当逐份补充“一证一质”意见，不宜原样作为对未知证据的最终书面质证意见提交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一、总质证方法</w:t>
      </w:r>
    </w:p>
    <w:p>
      <w:r>
        <w:rPr>
          <w:rFonts w:ascii="仿宋" w:hAnsi="仿宋" w:eastAsia="仿宋"/>
          <w:b w:val="0"/>
          <w:sz w:val="30"/>
        </w:rPr>
        <w:t>对每份被告证据，依次核对：</w:t>
      </w:r>
    </w:p>
    <w:p>
      <w:pPr>
        <w:ind w:firstLine="0" w:left="420"/>
      </w:pPr>
      <w:r>
        <w:rPr>
          <w:rFonts w:ascii="仿宋" w:hAnsi="仿宋" w:eastAsia="仿宋"/>
          <w:b w:val="0"/>
          <w:sz w:val="30"/>
        </w:rPr>
        <w:t>1. 证据名称、页码、原件状态、形成主体和形成时间；</w:t>
      </w:r>
    </w:p>
    <w:p>
      <w:pPr>
        <w:ind w:firstLine="0" w:left="420"/>
      </w:pPr>
      <w:r>
        <w:rPr>
          <w:rFonts w:ascii="仿宋" w:hAnsi="仿宋" w:eastAsia="仿宋"/>
          <w:b w:val="0"/>
          <w:sz w:val="30"/>
        </w:rPr>
        <w:t>2. 是否完整，有无缺页、截取、涂改、倒签或无法核对原件；</w:t>
      </w:r>
    </w:p>
    <w:p>
      <w:pPr>
        <w:ind w:firstLine="0" w:left="420"/>
      </w:pPr>
      <w:r>
        <w:rPr>
          <w:rFonts w:ascii="仿宋" w:hAnsi="仿宋" w:eastAsia="仿宋"/>
          <w:b w:val="0"/>
          <w:sz w:val="30"/>
        </w:rPr>
        <w:t>3. 与2026年4月具体行为是否存在时间、地点、主体和内容上的直接关联；</w:t>
      </w:r>
    </w:p>
    <w:p>
      <w:pPr>
        <w:ind w:firstLine="0" w:left="420"/>
      </w:pPr>
      <w:r>
        <w:rPr>
          <w:rFonts w:ascii="仿宋" w:hAnsi="仿宋" w:eastAsia="仿宋"/>
          <w:b w:val="0"/>
          <w:sz w:val="30"/>
        </w:rPr>
        <w:t>4. 即使证据真实，能够证明的最小事实是什么，不能证明什么；</w:t>
      </w:r>
    </w:p>
    <w:p>
      <w:pPr>
        <w:ind w:firstLine="0" w:left="420"/>
      </w:pPr>
      <w:r>
        <w:rPr>
          <w:rFonts w:ascii="仿宋" w:hAnsi="仿宋" w:eastAsia="仿宋"/>
          <w:b w:val="0"/>
          <w:sz w:val="30"/>
        </w:rPr>
        <w:t>5. 是否存在与被告主张相反的内容；</w:t>
      </w:r>
    </w:p>
    <w:p>
      <w:pPr>
        <w:ind w:firstLine="0" w:left="420"/>
      </w:pPr>
      <w:r>
        <w:rPr>
          <w:rFonts w:ascii="仿宋" w:hAnsi="仿宋" w:eastAsia="仿宋"/>
          <w:b w:val="0"/>
          <w:sz w:val="30"/>
        </w:rPr>
        <w:t>6. 是否需要通知制作人、经办人、鉴定人或现场人员出庭说明。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二、对权属或项目背景材料的质证</w:t>
      </w:r>
    </w:p>
    <w:p>
      <w:r>
        <w:rPr>
          <w:rFonts w:ascii="仿宋" w:hAnsi="仿宋" w:eastAsia="仿宋"/>
          <w:b w:val="0"/>
          <w:sz w:val="30"/>
        </w:rPr>
        <w:t>如被告提交收购合同、不动产登记、历史批复、项目文件或既往裁判，原告对来源真实且与原件核对一致的材料，可认可其形式真实性；但对其关联性和证明目的分别审查。</w:t>
      </w:r>
    </w:p>
    <w:p>
      <w:r>
        <w:rPr>
          <w:rFonts w:ascii="仿宋" w:hAnsi="仿宋" w:eastAsia="仿宋"/>
          <w:b w:val="0"/>
          <w:sz w:val="30"/>
        </w:rPr>
        <w:t>重点追问：材料中的权利人或受托人是否就是本案被告；有效期是否覆盖2026年4月；标的是否包含原告东301专有部分及具体共有部位；授权内容是否包含进入、鉴定、剔凿墙体、拆门或控制出入口。只能证明历史项目或其他房屋权利的材料，不能当然证明被告对原告房屋享有处分权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三、对授权、委托和管理材料的质证</w:t>
      </w:r>
    </w:p>
    <w:p>
      <w:r>
        <w:rPr>
          <w:rFonts w:ascii="仿宋" w:hAnsi="仿宋" w:eastAsia="仿宋"/>
          <w:b w:val="0"/>
          <w:sz w:val="30"/>
        </w:rPr>
        <w:t>如被告提交授权委托书、管理协议或合作协议，应要求出示签署主体资格、签章原件、签署日期、附件、授权范围、期限、解除/变更情况及上游权利来源。</w:t>
      </w:r>
    </w:p>
    <w:p>
      <w:r>
        <w:rPr>
          <w:rFonts w:ascii="仿宋" w:hAnsi="仿宋" w:eastAsia="仿宋"/>
          <w:b w:val="0"/>
          <w:sz w:val="30"/>
        </w:rPr>
        <w:t>对“负责现场管理”“配合清理”“协助鉴定”等概括表述，应区分一般协调权限与进入专有部分、剔凿墙体、改变出入口的特别权限。授权内容不明确的，不应作扩大解释。授权链只有上游文件而无被告受托文件，或者只有被告受托文件而无上游权利依据，均不构成完整证明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四、对鉴定、设计、施工和排险材料的质证</w:t>
      </w:r>
    </w:p>
    <w:p>
      <w:r>
        <w:rPr>
          <w:rFonts w:ascii="仿宋" w:hAnsi="仿宋" w:eastAsia="仿宋"/>
          <w:b w:val="0"/>
          <w:sz w:val="30"/>
        </w:rPr>
        <w:t>对鉴定报告，核对委托人、检测对象、检测日期、方法、原始记录、资质、签章和结论；特别区分“鉴定意见”“修缮建议”“设计文件”“施工方案”和“紧急处置决定”。鉴定报告不能自动证明被告受权实施施工，也不能证明任意剔凿方式具有必要性。</w:t>
      </w:r>
    </w:p>
    <w:p>
      <w:r>
        <w:rPr>
          <w:rFonts w:ascii="仿宋" w:hAnsi="仿宋" w:eastAsia="仿宋"/>
          <w:b w:val="0"/>
          <w:sz w:val="30"/>
        </w:rPr>
        <w:t>对施工方案、设计图、任务单和验收材料，核对是否对应涉案具体房间和墙体、是否形成于行为之前、是否由有资质主体制作、是否履行通知和安全交底、现场实际行为是否超出方案。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五、对照片、视频、录音和聊天记录的质证</w:t>
      </w:r>
    </w:p>
    <w:p>
      <w:r>
        <w:rPr>
          <w:rFonts w:ascii="仿宋" w:hAnsi="仿宋" w:eastAsia="仿宋"/>
          <w:b w:val="0"/>
          <w:sz w:val="30"/>
        </w:rPr>
        <w:t>要求提交原始载体或可核验的原始文件，说明拍摄/发送主体、设备、时间、地点、文件名、完整时长、导出方式和是否剪辑。对截图应查看前后完整对话，对视频应连续播放相关片段前后内容。</w:t>
      </w:r>
    </w:p>
    <w:p>
      <w:r>
        <w:rPr>
          <w:rFonts w:ascii="仿宋" w:hAnsi="仿宋" w:eastAsia="仿宋"/>
          <w:b w:val="0"/>
          <w:sz w:val="30"/>
        </w:rPr>
        <w:t>即使电子数据真实，也应区分其证明对象：某人在场，不等于其实施全部行为；某人表达项目意见，不等于其具备合法授权；某处存在施工，不等于施工发生在原告专有部分。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六、对证人证言、情况说明和单位证明的质证</w:t>
      </w:r>
    </w:p>
    <w:p>
      <w:r>
        <w:rPr>
          <w:rFonts w:ascii="仿宋" w:hAnsi="仿宋" w:eastAsia="仿宋"/>
          <w:b w:val="0"/>
          <w:sz w:val="30"/>
        </w:rPr>
        <w:t>对证人证言，核对证人与各方关系、是否亲历、观察位置、时间间隔及有无其他证据印证。无正当理由未出庭的证人，其书面证言证明力应从严审查。</w:t>
      </w:r>
    </w:p>
    <w:p>
      <w:r>
        <w:rPr>
          <w:rFonts w:ascii="仿宋" w:hAnsi="仿宋" w:eastAsia="仿宋"/>
          <w:b w:val="0"/>
          <w:sz w:val="30"/>
        </w:rPr>
        <w:t>对被告或其关联单位自行制作的“情况说明”，应审查制作人是否出庭、所述内容是否有合同、考勤、付款、通讯、照片或公安记录印证。单方说明不能替代客观记录。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七、对既往生效裁判的质证</w:t>
      </w:r>
    </w:p>
    <w:p>
      <w:r>
        <w:rPr>
          <w:rFonts w:ascii="仿宋" w:hAnsi="仿宋" w:eastAsia="仿宋"/>
          <w:b w:val="0"/>
          <w:sz w:val="30"/>
        </w:rPr>
        <w:t>原告认可生效裁判的真实性和法律效力，但反对脱离裁判主文、争议事项及认定范围作扩大解释。既往裁判曾评价开福棚改公司在2023年特定修缮背景下的依据，不等于确认本案被告在2026年对东301享有进入、施工或处分权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八、庭审记录要求</w:t>
      </w:r>
    </w:p>
    <w:p>
      <w:r>
        <w:rPr>
          <w:rFonts w:ascii="仿宋" w:hAnsi="仿宋" w:eastAsia="仿宋"/>
          <w:b w:val="0"/>
          <w:sz w:val="30"/>
        </w:rPr>
        <w:t>对被告不能出示原件、拒绝说明形成过程、拒绝提交完整附件、证据与2026年具体行为无关或证明目的明显扩张的，请求法院将原告异议完整记入笔录。对被告自认的主体关系、授权缺失、现场人员来源、行为时间和现状变化，也请求逐项记录。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原告：李运芳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委托诉讼代理人：冯宇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2026年　月　日</w:t>
      </w:r>
    </w:p>
    <w:sectPr w:rsidR="00FC693F" w:rsidRPr="0006063C" w:rsidSect="00034616">
      <w:footerReference w:type="default" r:id="rId9"/>
      <w:pgSz w:w="11906" w:h="16838"/>
      <w:pgMar w:top="1587" w:right="1587" w:bottom="1417" w:left="1701" w:header="850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仿宋" w:hAnsi="仿宋" w:eastAsia="仿宋"/>
        <w:sz w:val="21"/>
      </w:rPr>
      <w:t xml:space="preserve">第 </w:t>
      <w:fldChar w:fldCharType="begin"/>
      <w:instrText xml:space="preserve"> PAGE </w:instrText>
      <w:fldChar w:fldCharType="end"/>
    </w:r>
    <w:r>
      <w:rPr>
        <w:rFonts w:ascii="仿宋" w:hAnsi="仿宋" w:eastAsia="仿宋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  <w:ind w:firstLine="420"/>
      <w:jc w:val="both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viewComment">
    <w:name w:val="Review Comment"/>
    <w:pPr>
      <w:spacing w:line="300" w:lineRule="auto" w:before="60" w:after="60"/>
      <w:ind w:firstLine="0" w:left="420"/>
    </w:pPr>
    <w:rPr>
      <w:rFonts w:ascii="仿宋" w:hAnsi="仿宋" w:eastAsia="仿宋"/>
      <w:b/>
      <w:color w:val="FF0000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