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40"/>
        <w:ind w:firstLine="0"/>
        <w:jc w:val="center"/>
      </w:pPr>
      <w:r>
        <w:rPr>
          <w:rFonts w:ascii="宋体" w:hAnsi="宋体" w:eastAsia="宋体"/>
          <w:b/>
          <w:sz w:val="44"/>
        </w:rPr>
        <w:t>原告庭审陈述与法庭辩论提纲</w:t>
      </w:r>
    </w:p>
    <w:p>
      <w:pPr>
        <w:ind w:firstLine="0"/>
      </w:pPr>
      <w:r>
        <w:rPr>
          <w:rFonts w:ascii="仿宋" w:hAnsi="仿宋" w:eastAsia="仿宋"/>
          <w:b w:val="0"/>
          <w:sz w:val="30"/>
        </w:rPr>
        <w:t>案号：【请按受理通知书或传票填写】</w:t>
      </w:r>
    </w:p>
    <w:p>
      <w:pPr>
        <w:ind w:firstLine="0"/>
      </w:pPr>
      <w:r>
        <w:rPr>
          <w:rFonts w:ascii="仿宋" w:hAnsi="仿宋" w:eastAsia="仿宋"/>
          <w:b w:val="0"/>
          <w:sz w:val="30"/>
        </w:rPr>
        <w:t>案由：排除妨害纠纷</w:t>
      </w:r>
    </w:p>
    <w:p>
      <w:pPr>
        <w:ind w:firstLine="0"/>
      </w:pPr>
      <w:r>
        <w:rPr>
          <w:rFonts w:ascii="仿宋" w:hAnsi="仿宋" w:eastAsia="仿宋"/>
          <w:b w:val="0"/>
          <w:sz w:val="30"/>
        </w:rPr>
        <w:t>审判员：</w:t>
      </w:r>
    </w:p>
    <w:p>
      <w:r>
        <w:rPr>
          <w:rFonts w:ascii="仿宋" w:hAnsi="仿宋" w:eastAsia="仿宋"/>
          <w:b w:val="0"/>
          <w:sz w:val="30"/>
        </w:rPr>
        <w:t>原告的意见集中为四点。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一、这不是反对排险，而是要求任何进入和施工都说明权利来源</w:t>
      </w:r>
    </w:p>
    <w:p>
      <w:r>
        <w:rPr>
          <w:rFonts w:ascii="仿宋" w:hAnsi="仿宋" w:eastAsia="仿宋"/>
          <w:b w:val="0"/>
          <w:sz w:val="30"/>
        </w:rPr>
        <w:t>原告对楠木厅12号4栋2门301房屋享有权利，对楼道、通道、出入口等共有部分享有共有和共同管理权。原告不反对依法鉴定、排险、修缮和清理，反对的是没有说明主体、授权、范围和程序，就进入原告专有部分、剔凿墙体或者处置出入口。</w:t>
      </w:r>
    </w:p>
    <w:p>
      <w:r>
        <w:rPr>
          <w:rFonts w:ascii="仿宋" w:hAnsi="仿宋" w:eastAsia="仿宋"/>
          <w:b w:val="0"/>
          <w:sz w:val="30"/>
        </w:rPr>
        <w:t>请被告直接回答：被告的权利来自哪里；谁在2026年4月委托被告；授权文件是否写明可以进入东301、剔凿墙体或拆除铁门；现场人员由谁派遣、谁指挥、谁付款。历史项目背景不能代替这些具体问题。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二、现有证据先证明了权利和现场状态，主体归责需要法院调取被告控制的关键材料</w:t>
      </w:r>
    </w:p>
    <w:p>
      <w:r>
        <w:rPr>
          <w:rFonts w:ascii="仿宋" w:hAnsi="仿宋" w:eastAsia="仿宋"/>
          <w:b w:val="0"/>
          <w:sz w:val="30"/>
        </w:rPr>
        <w:t>产权材料和既往裁判能够证明原告权利。四张照片能够证明现场有多处剔凿、开槽、孔洞和碎屑。2026年4月27日报警回执能够锁定公安接处警记录。4月29日材料形成潘某在场及其与现场管理事项有关的线索。</w:t>
      </w:r>
    </w:p>
    <w:p>
      <w:r>
        <w:rPr>
          <w:rFonts w:ascii="仿宋" w:hAnsi="仿宋" w:eastAsia="仿宋"/>
          <w:b w:val="0"/>
          <w:sz w:val="30"/>
        </w:rPr>
        <w:t>原告同时承认这些材料的边界：照片本身不能单独说明谁实施；报警回执不能替代接处警记录；文字整理稿不能替代原始视频。因此，原告已经申请调取接警录音、处警记录、执法记录仪、人员身份核查材料，并申请责令被告提交授权、委托、派工、付款和人员关系材料。请法院在关键证据到位后再作完整评价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三、既往裁判中的修缮依据不能自动覆盖本案被告和2026年行为</w:t>
      </w:r>
    </w:p>
    <w:p>
      <w:r>
        <w:rPr>
          <w:rFonts w:ascii="仿宋" w:hAnsi="仿宋" w:eastAsia="仿宋"/>
          <w:b w:val="0"/>
          <w:sz w:val="30"/>
        </w:rPr>
        <w:t>既往裁判涉及的是开福棚改公司及2023年前后的特定修缮。现在的被告是长沙科棚潮宗街商业管理有限公司，争议行为发生在2026年。被告如主张承继授权，应当提交从原权利主体或职责主体到被告、再到潘某和现场人员的连续文件，并证明授权覆盖具体部位和具体行为。</w:t>
      </w:r>
    </w:p>
    <w:p>
      <w:r>
        <w:rPr>
          <w:rFonts w:ascii="仿宋" w:hAnsi="仿宋" w:eastAsia="仿宋"/>
          <w:b w:val="0"/>
          <w:sz w:val="30"/>
        </w:rPr>
        <w:t>危房治理也不等于可以无方案剔凿。鉴定、设计、施工和紧急处置是不同环节。即使目的正当，实施主体、技术必要性、通知程序和最小侵害范围仍须证明。</w:t>
      </w:r>
    </w:p>
    <w:p>
      <w:pPr>
        <w:keepNext/>
        <w:spacing w:before="140" w:after="40"/>
        <w:ind w:firstLine="0"/>
      </w:pPr>
      <w:r>
        <w:rPr>
          <w:rFonts w:ascii="黑体" w:hAnsi="黑体" w:eastAsia="黑体"/>
          <w:b/>
          <w:sz w:val="32"/>
        </w:rPr>
        <w:t>四、请求法院按最新现场状态作可执行处理</w:t>
      </w:r>
    </w:p>
    <w:p>
      <w:r>
        <w:rPr>
          <w:rFonts w:ascii="仿宋" w:hAnsi="仿宋" w:eastAsia="仿宋"/>
          <w:b w:val="0"/>
          <w:sz w:val="30"/>
        </w:rPr>
        <w:t>对未经授权进入、剔凿墙体、控制或拆除出入口的行为，请依法判令停止并排除现实危险；对现存障碍物、垃圾、排水问题，以开庭前照片和现场勘验确定范围；对墙体等已经发生的损坏，以安全、合理的修复方案确定责任。</w:t>
      </w:r>
    </w:p>
    <w:p>
      <w:r>
        <w:rPr>
          <w:rFonts w:ascii="仿宋" w:hAnsi="仿宋" w:eastAsia="仿宋"/>
          <w:b w:val="0"/>
          <w:sz w:val="30"/>
        </w:rPr>
        <w:t>如果部分垃圾已经清理，原告将如实确认，但部分清理不等于全部妨害消失，更不等于墙体损坏和授权争议已经解决。</w:t>
      </w:r>
    </w:p>
    <w:p>
      <w:r>
        <w:rPr>
          <w:rFonts w:ascii="仿宋" w:hAnsi="仿宋" w:eastAsia="仿宋"/>
          <w:b w:val="0"/>
          <w:sz w:val="30"/>
        </w:rPr>
        <w:t>原告最后请求：准许调查取证、责令提交书证和现场勘验申请；对被告不能说明权利来源、不能提交授权链条的具体进入、剔凿、拆门或控制行为，依法认定缺乏合法基础；支持仍有事实和证据基础的诉讼请求。</w:t>
      </w:r>
    </w:p>
    <w:p>
      <w:pPr>
        <w:ind w:firstLine="0"/>
      </w:pPr>
      <w:r>
        <w:rPr>
          <w:rFonts w:ascii="仿宋" w:hAnsi="仿宋" w:eastAsia="仿宋"/>
          <w:b w:val="0"/>
          <w:sz w:val="30"/>
        </w:rPr>
        <w:t>原告：李运芳</w:t>
      </w:r>
    </w:p>
    <w:p>
      <w:pPr>
        <w:ind w:firstLine="0"/>
      </w:pPr>
      <w:r>
        <w:rPr>
          <w:rFonts w:ascii="仿宋" w:hAnsi="仿宋" w:eastAsia="仿宋"/>
          <w:b w:val="0"/>
          <w:sz w:val="30"/>
        </w:rPr>
        <w:t>委托诉讼代理人：冯宇</w:t>
      </w:r>
    </w:p>
    <w:p>
      <w:pPr>
        <w:ind w:firstLine="0"/>
      </w:pPr>
      <w:r>
        <w:rPr>
          <w:rFonts w:ascii="仿宋" w:hAnsi="仿宋" w:eastAsia="仿宋"/>
          <w:b w:val="0"/>
          <w:sz w:val="30"/>
        </w:rPr>
        <w:t>2026年　月　日</w:t>
      </w:r>
    </w:p>
    <w:sectPr w:rsidR="00FC693F" w:rsidRPr="0006063C" w:rsidSect="00034616">
      <w:footerReference w:type="default" r:id="rId9"/>
      <w:pgSz w:w="11906" w:h="16838"/>
      <w:pgMar w:top="1587" w:right="1587" w:bottom="1417" w:left="1701" w:header="850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仿宋" w:hAnsi="仿宋" w:eastAsia="仿宋"/>
        <w:sz w:val="21"/>
      </w:rPr>
      <w:t xml:space="preserve">第 </w:t>
      <w:fldChar w:fldCharType="begin"/>
      <w:instrText xml:space="preserve"> PAGE </w:instrText>
      <w:fldChar w:fldCharType="end"/>
    </w:r>
    <w:r>
      <w:rPr>
        <w:rFonts w:ascii="仿宋" w:hAnsi="仿宋" w:eastAsia="仿宋"/>
        <w:sz w:val="21"/>
      </w:rPr>
      <w:t xml:space="preserve"> 页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before="0" w:after="0"/>
      <w:ind w:firstLine="420"/>
      <w:jc w:val="both"/>
    </w:pPr>
    <w:rPr>
      <w:rFonts w:ascii="仿宋" w:hAnsi="仿宋" w:eastAsia="仿宋"/>
      <w:sz w:val="3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viewComment">
    <w:name w:val="Review Comment"/>
    <w:pPr>
      <w:spacing w:line="300" w:lineRule="auto" w:before="60" w:after="60"/>
      <w:ind w:firstLine="0" w:left="420"/>
    </w:pPr>
    <w:rPr>
      <w:rFonts w:ascii="仿宋" w:hAnsi="仿宋" w:eastAsia="仿宋"/>
      <w:b/>
      <w:color w:val="FF0000"/>
      <w:sz w:val="2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