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>
      <w:pPr>
        <w:spacing w:after="360"/>
        <w:jc w:val="center"/>
      </w:pPr>
      <w:r>
        <w:rPr>
          <w:rFonts w:ascii="方正小标宋简体" w:hAnsi="方正小标宋简体" w:eastAsia="方正小标宋简体"/>
          <w:b/>
          <w:color w:val="17365D"/>
          <w:sz w:val="48"/>
        </w:rPr>
        <w:t>法院调解方案——长沙城市更新政策版</w:t>
      </w:r>
    </w:p>
    <w:p>
      <w:pPr>
        <w:jc w:val="center"/>
      </w:pPr>
      <w:r>
        <w:rPr>
          <w:rFonts w:ascii="宋体" w:hAnsi="宋体" w:eastAsia="宋体"/>
          <w:color w:val="5F6B78"/>
          <w:sz w:val="24"/>
        </w:rPr>
        <w:t>李运芳诉长沙科棚潮宗街商业管理有限公司排除妨害纠纷案</w:t>
      </w:r>
    </w:p>
    <w:p>
      <w:pPr>
        <w:spacing w:before="2800"/>
        <w:jc w:val="center"/>
      </w:pPr>
      <w:r>
        <w:rPr>
          <w:rFonts w:ascii="宋体" w:hAnsi="宋体" w:eastAsia="宋体"/>
          <w:color w:val="5F6B78"/>
          <w:sz w:val="22"/>
        </w:rPr>
        <w:t>原始材料与官方法源核验 · 2026年8月14日</w:t>
      </w:r>
    </w:p>
    <w:p>
      <w:r>
        <w:br w:type="page"/>
      </w:r>
    </w:p>
    <w:p>
      <w:pPr>
        <w:pStyle w:val="Heading1"/>
      </w:pPr>
      <w:r>
        <w:t>一、调解定位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本案判决能够解决的是确定主体造成或控制的具体妨害；楠木厅12号长期治理还涉及开福棚改投、其他产权人、鉴定和施工机构，以及规划、住建、历史文化保护等行政程序。调解可以在当事人自愿且不损害国家、集体和第三人利益的前提下，把民事修复、项目申请、阶段成果和产权解决组合起来，但不能通过调解规避法定审批或处分未参加诉讼主体的权利。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《长沙市全面推进城市更新行动方案（2026—2030年）》认可危险住房治理、老旧住房自主更新、依法原拆原建、历史街区“一屋一策”和市场化收购等路径。该政策扩大了可协商工具，不意味着科棚或任何主体负有强制收购、原拆原建义务。</w:t>
      </w:r>
    </w:p>
    <w:p>
      <w:pPr>
        <w:pStyle w:val="Heading1"/>
      </w:pPr>
      <w:r>
        <w:t>二、法官调解五档梯度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792"/>
        <w:gridCol w:w="1792"/>
        <w:gridCol w:w="1792"/>
        <w:gridCol w:w="1792"/>
        <w:gridCol w:w="1792"/>
      </w:tblGrid>
      <w:tr>
        <w:trPr>
          <w:tblHeader/>
        </w:trPr>
        <w:tc>
          <w:tcPr>
            <w:tcW w:type="dxa" w:w="1792"/>
            <w:vAlign w:val="center"/>
            <w:shd w:fill="17365D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color w:val="FFFFFF"/>
                <w:sz w:val="20"/>
              </w:rPr>
              <w:t>档次</w:t>
            </w:r>
          </w:p>
        </w:tc>
        <w:tc>
          <w:tcPr>
            <w:tcW w:type="dxa" w:w="1792"/>
            <w:vAlign w:val="center"/>
            <w:shd w:fill="17365D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color w:val="FFFFFF"/>
                <w:sz w:val="20"/>
              </w:rPr>
              <w:t>核心内容</w:t>
            </w:r>
          </w:p>
        </w:tc>
        <w:tc>
          <w:tcPr>
            <w:tcW w:type="dxa" w:w="1792"/>
            <w:vAlign w:val="center"/>
            <w:shd w:fill="17365D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color w:val="FFFFFF"/>
                <w:sz w:val="20"/>
              </w:rPr>
              <w:t>适合主体</w:t>
            </w:r>
          </w:p>
        </w:tc>
        <w:tc>
          <w:tcPr>
            <w:tcW w:type="dxa" w:w="1792"/>
            <w:vAlign w:val="center"/>
            <w:shd w:fill="17365D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color w:val="FFFFFF"/>
                <w:sz w:val="20"/>
              </w:rPr>
              <w:t>法官推动可能</w:t>
            </w:r>
          </w:p>
        </w:tc>
        <w:tc>
          <w:tcPr>
            <w:tcW w:type="dxa" w:w="1792"/>
            <w:vAlign w:val="center"/>
            <w:shd w:fill="17365D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color w:val="FFFFFF"/>
                <w:sz w:val="20"/>
              </w:rPr>
              <w:t>真正解决纠纷程度</w:t>
            </w:r>
          </w:p>
        </w:tc>
      </w:tr>
      <w:tr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第一档：基础排除妨害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垃圾、排水、围挡、钻孔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科棚；相应控制/管理主体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90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45</w:t>
            </w:r>
          </w:p>
        </w:tc>
      </w:tr>
      <w:tr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第二档：实质恢复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检测、维修/加固、复核、安全使用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科棚对直接损坏；开福棚改投及实际实施主体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75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78</w:t>
            </w:r>
          </w:p>
        </w:tc>
      </w:tr>
      <w:tr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第三档：“一屋一策”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结构、排水、通行、消防、保护、使用、资金、期限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开福棚改投、项目实施主体、其他产权人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65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85</w:t>
            </w:r>
          </w:p>
        </w:tc>
      </w:tr>
      <w:tr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第四档：依法城市更新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修缮更新、改建；条件成立时原拆原建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全体业主、实施主体、行政审批部门配合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35</w:t>
            </w:r>
          </w:p>
        </w:tc>
        <w:tc>
          <w:tcPr>
            <w:tcW w:type="dxa" w:w="1792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90</w:t>
            </w:r>
          </w:p>
        </w:tc>
      </w:tr>
      <w:tr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第五档：产权彻底解决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自愿收购、置换、现金+物业、整体和解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有购买/置换权限和资金主体、原告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55</w:t>
            </w:r>
          </w:p>
        </w:tc>
        <w:tc>
          <w:tcPr>
            <w:tcW w:type="dxa" w:w="1792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95</w:t>
            </w:r>
          </w:p>
        </w:tc>
      </w:tr>
    </w:tbl>
    <w:p>
      <w:pPr>
        <w:spacing w:after="20"/>
      </w:pP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承办法官最可能从第一档核实现状和最低履行义务，再向第二档推进。仅做第一档可以终结部分诉请，但不一定终结房屋安全和长期使用争议；第二档与第三档组合，最有可能在不等待复杂产权交易的情况下实现实质治理。若各方均有产权整合意愿，第五档最彻底。</w:t>
      </w:r>
    </w:p>
    <w:p>
      <w:pPr>
        <w:pStyle w:val="Heading1"/>
      </w:pPr>
      <w:r>
        <w:t>三、方案一：基础恢复型</w:t>
      </w:r>
    </w:p>
    <w:p>
      <w:pPr>
        <w:pStyle w:val="Heading2"/>
      </w:pPr>
      <w:r>
        <w:t>1. 协议核心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在法院主持下，于签署后五个工作日内完成联合现场确认，形成带编号点位图和影像的《现状确认单》。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对已清理的生活垃圾列明区域和完成状态，不重复履行；对[点位G1—G__]仍存建筑废料、拆除残留或检测废料，分别确认产生或清理责任主体。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对[点位P1—P__]钻孔、剔凿和墙面损坏，由确认的行为责任主体于十五日内安全修复。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对[管段D1]排水进行通水或内窥检测；由责任主体在三十日内清疏或修复，验收标准为连续通水、无异常倒灌和漫溢。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对[区段W1]围挡、锁闭和障碍，能拆移的在十日内拆移；确因安全风险不能拆移的，设置明确、稳定的替代通道和钥匙/门禁安排。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双方共同验收；争议项目由共同选定的第三方复核。费用按责任项目分担。</w:t>
      </w:r>
    </w:p>
    <w:p>
      <w:pPr>
        <w:pStyle w:val="Heading2"/>
      </w:pPr>
      <w:r>
        <w:t>2. 评价</w:t>
      </w:r>
    </w:p>
    <w:p>
      <w:pPr>
        <w:pStyle w:val="ListBullet"/>
        <w:spacing w:line="360" w:lineRule="auto" w:after="100"/>
      </w:pPr>
      <w:r>
        <w:rPr>
          <w:rFonts w:ascii="宋体" w:hAnsi="宋体" w:eastAsia="宋体"/>
          <w:sz w:val="24"/>
        </w:rPr>
        <w:t>法律性质：对排除妨害和修复责任的具体化和解。</w:t>
      </w:r>
    </w:p>
    <w:p>
      <w:pPr>
        <w:pStyle w:val="ListBullet"/>
        <w:spacing w:line="360" w:lineRule="auto" w:after="100"/>
      </w:pPr>
      <w:r>
        <w:rPr>
          <w:rFonts w:ascii="宋体" w:hAnsi="宋体" w:eastAsia="宋体"/>
          <w:sz w:val="24"/>
        </w:rPr>
        <w:t>需要主体：科棚、实际设置或控制人；若建筑废料、排水或围挡由开福棚改投管理，后者必须参加。</w:t>
      </w:r>
    </w:p>
    <w:p>
      <w:pPr>
        <w:pStyle w:val="ListBullet"/>
        <w:spacing w:line="360" w:lineRule="auto" w:after="100"/>
      </w:pPr>
      <w:r>
        <w:rPr>
          <w:rFonts w:ascii="宋体" w:hAnsi="宋体" w:eastAsia="宋体"/>
          <w:sz w:val="24"/>
        </w:rPr>
        <w:t>成本：相对低，主要为清运、检测和局部修复。</w:t>
      </w:r>
    </w:p>
    <w:p>
      <w:pPr>
        <w:pStyle w:val="ListBullet"/>
        <w:spacing w:line="360" w:lineRule="auto" w:after="100"/>
      </w:pPr>
      <w:r>
        <w:rPr>
          <w:rFonts w:ascii="宋体" w:hAnsi="宋体" w:eastAsia="宋体"/>
          <w:sz w:val="24"/>
        </w:rPr>
        <w:t>可执行性：高，前提是点位、措施、期限和验收写入调解书。</w:t>
      </w:r>
    </w:p>
    <w:p>
      <w:pPr>
        <w:pStyle w:val="ListBullet"/>
        <w:spacing w:line="360" w:lineRule="auto" w:after="100"/>
      </w:pPr>
      <w:r>
        <w:rPr>
          <w:rFonts w:ascii="宋体" w:hAnsi="宋体" w:eastAsia="宋体"/>
          <w:sz w:val="24"/>
        </w:rPr>
        <w:t>原告接受可能：中高，能立即恢复部分使用；但不解决整体安全和长期治理。</w:t>
      </w:r>
    </w:p>
    <w:p>
      <w:pPr>
        <w:pStyle w:val="ListBullet"/>
        <w:spacing w:line="360" w:lineRule="auto" w:after="100"/>
      </w:pPr>
      <w:r>
        <w:rPr>
          <w:rFonts w:ascii="宋体" w:hAnsi="宋体" w:eastAsia="宋体"/>
          <w:sz w:val="24"/>
        </w:rPr>
        <w:t>科棚接受可能：较高，可限定为其直接行为，不承认整栋管理身份。</w:t>
      </w:r>
    </w:p>
    <w:p>
      <w:pPr>
        <w:pStyle w:val="ListBullet"/>
        <w:spacing w:line="360" w:lineRule="auto" w:after="100"/>
      </w:pPr>
      <w:r>
        <w:rPr>
          <w:rFonts w:ascii="宋体" w:hAnsi="宋体" w:eastAsia="宋体"/>
          <w:sz w:val="24"/>
        </w:rPr>
        <w:t>开福棚改投接受可能：中等，可将历史治理与本案争议限定分工。</w:t>
      </w:r>
    </w:p>
    <w:p>
      <w:pPr>
        <w:pStyle w:val="ListBullet"/>
        <w:spacing w:line="360" w:lineRule="auto" w:after="100"/>
      </w:pPr>
      <w:r>
        <w:rPr>
          <w:rFonts w:ascii="宋体" w:hAnsi="宋体" w:eastAsia="宋体"/>
          <w:sz w:val="24"/>
        </w:rPr>
        <w:t>执行风险：责任点位未确认、围挡有安全必要性、排水原因复杂。</w:t>
      </w:r>
    </w:p>
    <w:p>
      <w:pPr>
        <w:pStyle w:val="Heading1"/>
      </w:pPr>
      <w:r>
        <w:t>四、方案二：修缮加固＋复鉴型</w:t>
      </w:r>
    </w:p>
    <w:p>
      <w:pPr>
        <w:pStyle w:val="Heading2"/>
      </w:pPr>
      <w:r>
        <w:t>1. 履行流程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b/>
          <w:sz w:val="24"/>
        </w:rPr>
        <w:t>第一阶段（10日）</w:t>
      </w:r>
      <w:r>
        <w:rPr>
          <w:rFonts w:ascii="宋体" w:hAnsi="宋体" w:eastAsia="宋体"/>
          <w:sz w:val="24"/>
        </w:rPr>
        <w:t>：三方共同选定具备相应能力的检测/设计单位，审查2022年记载Bu、Cu、Cu及鉴定单元Csu级的报告、2023年加固资料及湖南湘力完整报告，确认当前缺陷、报告可比性和是否需补充检测。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b/>
          <w:sz w:val="24"/>
        </w:rPr>
        <w:t>第二阶段（20日）</w:t>
      </w:r>
      <w:r>
        <w:rPr>
          <w:rFonts w:ascii="宋体" w:hAnsi="宋体" w:eastAsia="宋体"/>
          <w:sz w:val="24"/>
        </w:rPr>
        <w:t>：形成项目清单，至少覆盖结构构件、东301钻孔损坏、排水、通行、消防和必要保护措施；区分科棚直接行为修复、开福棚改投管理改造项目及产权人自担项目。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b/>
          <w:sz w:val="24"/>
        </w:rPr>
        <w:t>第三阶段（60—120日）</w:t>
      </w:r>
      <w:r>
        <w:rPr>
          <w:rFonts w:ascii="宋体" w:hAnsi="宋体" w:eastAsia="宋体"/>
          <w:sz w:val="24"/>
        </w:rPr>
        <w:t>：由具备资质的施工主体按设计施工，保留隐蔽工程、材料和过程记录；施工期间提供安全通行或临时安置。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b/>
          <w:sz w:val="24"/>
        </w:rPr>
        <w:t>第四阶段（10日）</w:t>
      </w:r>
      <w:r>
        <w:rPr>
          <w:rFonts w:ascii="宋体" w:hAnsi="宋体" w:eastAsia="宋体"/>
          <w:sz w:val="24"/>
        </w:rPr>
        <w:t>：由共同选定或法院指定机构复核，出具可用于验收的书面结论；不合格项目限期整改。</w:t>
      </w:r>
    </w:p>
    <w:p>
      <w:pPr>
        <w:pStyle w:val="Heading2"/>
      </w:pPr>
      <w:r>
        <w:t>2. 2023年历史安全状态能否作为基准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现阶段不能直接约定“恢复至不低于B级或Bsu级”，因为完整2023报告缺失，现有裁判只转述主体结构B级，且与2022年鉴定单元Csu级结论的范围和体系可能不同。可采用二段式约定：</w:t>
      </w:r>
    </w:p>
    <w:p>
      <w:pPr>
        <w:spacing w:line="360" w:lineRule="auto" w:after="120" w:before="80"/>
        <w:ind w:left="397" w:right="170" w:firstLine="0"/>
        <w:shd w:fill="EDF2F7"/>
      </w:pPr>
      <w:r>
        <w:rPr>
          <w:rFonts w:ascii="宋体" w:hAnsi="宋体" w:eastAsia="宋体"/>
          <w:color w:val="17365D"/>
          <w:sz w:val="24"/>
        </w:rPr>
        <w:t>专业机构先审查两份报告在对象、范围、标准和评级体系上是否具有可比性。具有可比性时，修缮后相关可比项目不得低于2023年经加固形成的安全状态；不具有可比性时，以现行强制性标准、约定使用功能及复核合格结论为验收依据。</w:t>
      </w:r>
    </w:p>
    <w:p>
      <w:pPr>
        <w:pStyle w:val="Heading2"/>
      </w:pPr>
      <w:r>
        <w:t>3. 评价</w:t>
      </w:r>
    </w:p>
    <w:p>
      <w:pPr>
        <w:pStyle w:val="ListBullet"/>
        <w:spacing w:line="360" w:lineRule="auto" w:after="100"/>
      </w:pPr>
      <w:r>
        <w:rPr>
          <w:rFonts w:ascii="宋体" w:hAnsi="宋体" w:eastAsia="宋体"/>
          <w:sz w:val="24"/>
        </w:rPr>
        <w:t>法律性质：民事修复责任与自愿扩展治理义务的组合。</w:t>
      </w:r>
    </w:p>
    <w:p>
      <w:pPr>
        <w:pStyle w:val="ListBullet"/>
        <w:spacing w:line="360" w:lineRule="auto" w:after="100"/>
      </w:pPr>
      <w:r>
        <w:rPr>
          <w:rFonts w:ascii="宋体" w:hAnsi="宋体" w:eastAsia="宋体"/>
          <w:sz w:val="24"/>
        </w:rPr>
        <w:t>需要主体：科棚、开福棚改投、原告；必要时其他产权人。</w:t>
      </w:r>
    </w:p>
    <w:p>
      <w:pPr>
        <w:pStyle w:val="ListBullet"/>
        <w:spacing w:line="360" w:lineRule="auto" w:after="100"/>
      </w:pPr>
      <w:r>
        <w:rPr>
          <w:rFonts w:ascii="宋体" w:hAnsi="宋体" w:eastAsia="宋体"/>
          <w:sz w:val="24"/>
        </w:rPr>
        <w:t>审批：局部维修通常相对简化；涉及结构、保护建筑或重大改造须依法报审。</w:t>
      </w:r>
    </w:p>
    <w:p>
      <w:pPr>
        <w:pStyle w:val="ListBullet"/>
        <w:spacing w:line="360" w:lineRule="auto" w:after="100"/>
      </w:pPr>
      <w:r>
        <w:rPr>
          <w:rFonts w:ascii="宋体" w:hAnsi="宋体" w:eastAsia="宋体"/>
          <w:sz w:val="24"/>
        </w:rPr>
        <w:t>成本：中高；应先预算并明确超支机制。</w:t>
      </w:r>
    </w:p>
    <w:p>
      <w:pPr>
        <w:pStyle w:val="ListBullet"/>
        <w:spacing w:line="360" w:lineRule="auto" w:after="100"/>
      </w:pPr>
      <w:r>
        <w:rPr>
          <w:rFonts w:ascii="宋体" w:hAnsi="宋体" w:eastAsia="宋体"/>
          <w:sz w:val="24"/>
        </w:rPr>
        <w:t>法官推动可能：75/100。</w:t>
      </w:r>
    </w:p>
    <w:p>
      <w:pPr>
        <w:pStyle w:val="ListBullet"/>
        <w:spacing w:line="360" w:lineRule="auto" w:after="100"/>
      </w:pPr>
      <w:r>
        <w:rPr>
          <w:rFonts w:ascii="宋体" w:hAnsi="宋体" w:eastAsia="宋体"/>
          <w:sz w:val="24"/>
        </w:rPr>
        <w:t>执行风险：专业意见分歧、责任费用分配、审批和施工条件。</w:t>
      </w:r>
    </w:p>
    <w:p>
      <w:pPr>
        <w:pStyle w:val="ListBullet"/>
        <w:spacing w:line="360" w:lineRule="auto" w:after="100"/>
      </w:pPr>
      <w:r>
        <w:rPr>
          <w:rFonts w:ascii="宋体" w:hAnsi="宋体" w:eastAsia="宋体"/>
          <w:sz w:val="24"/>
        </w:rPr>
        <w:t>解决程度：较高，能够回答“鉴定以后如何治理”。</w:t>
      </w:r>
    </w:p>
    <w:p>
      <w:pPr>
        <w:pStyle w:val="Heading1"/>
      </w:pPr>
      <w:r>
        <w:t>五、方案三：“一屋一策”城市更新型</w:t>
      </w:r>
    </w:p>
    <w:p>
      <w:pPr>
        <w:pStyle w:val="Heading2"/>
      </w:pPr>
      <w:r>
        <w:t>1. 协议必须形成的成果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由开福棚改投或经查明的实际实施主体在四十五日内完成《楠木厅12号一屋一策治理方案》初稿，并在七十五日内形成具备实施条件的定稿。方案至少包括：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产权、使用人、历史门牌及保护身份；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当前结构安全结论和风险点；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东301及共有部分损坏清单；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排水、通行、消防和临时防护；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修缮、加固、外观保护和使用功能方案；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是否需要改建或原拆原建的专业比较；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预算、资金来源、各方费用责任；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审批事项、申报主体和申报期限；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分阶段实施和完工期限；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施工期间安全通行或临时安置；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验收、复核、问题销号及档案移交；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审批未获通过或资金条件未成就时的替代修缮方案。</w:t>
      </w:r>
    </w:p>
    <w:p>
      <w:pPr>
        <w:pStyle w:val="Heading2"/>
      </w:pPr>
      <w:r>
        <w:t>2. 能否写入法院民事调解书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可以，但必须建立在各方自愿和实施主体有权承诺的基础上。法院不能以调解书替代行政许可，也不能要求未参加调解的行政机关必须批准。可执行写法应是“负有申报、编制、提交、反馈和实施经批准方案的义务”，并明确阶段文件和期限；不能只写“积极推进有机更新”。</w:t>
      </w:r>
    </w:p>
    <w:p>
      <w:pPr>
        <w:pStyle w:val="Heading2"/>
      </w:pPr>
      <w:r>
        <w:t>3. 评价</w:t>
      </w:r>
    </w:p>
    <w:p>
      <w:pPr>
        <w:pStyle w:val="ListBullet"/>
        <w:spacing w:line="360" w:lineRule="auto" w:after="100"/>
      </w:pPr>
      <w:r>
        <w:rPr>
          <w:rFonts w:ascii="宋体" w:hAnsi="宋体" w:eastAsia="宋体"/>
          <w:sz w:val="24"/>
        </w:rPr>
        <w:t>法律性质：自愿约定的综合治理义务，其中行政审批为依法办理的外部条件。</w:t>
      </w:r>
    </w:p>
    <w:p>
      <w:pPr>
        <w:pStyle w:val="ListBullet"/>
        <w:spacing w:line="360" w:lineRule="auto" w:after="100"/>
      </w:pPr>
      <w:r>
        <w:rPr>
          <w:rFonts w:ascii="宋体" w:hAnsi="宋体" w:eastAsia="宋体"/>
          <w:sz w:val="24"/>
        </w:rPr>
        <w:t>需要主体：开福棚改投/项目实施主体、科棚、原告、其他产权人；必要时街道或主管部门参与协调但不当然作为民事义务人。</w:t>
      </w:r>
    </w:p>
    <w:p>
      <w:pPr>
        <w:pStyle w:val="ListBullet"/>
        <w:spacing w:line="360" w:lineRule="auto" w:after="100"/>
      </w:pPr>
      <w:r>
        <w:rPr>
          <w:rFonts w:ascii="宋体" w:hAnsi="宋体" w:eastAsia="宋体"/>
          <w:sz w:val="24"/>
        </w:rPr>
        <w:t>法官推动可能：65/100。</w:t>
      </w:r>
    </w:p>
    <w:p>
      <w:pPr>
        <w:pStyle w:val="ListBullet"/>
        <w:spacing w:line="360" w:lineRule="auto" w:after="100"/>
      </w:pPr>
      <w:r>
        <w:rPr>
          <w:rFonts w:ascii="宋体" w:hAnsi="宋体" w:eastAsia="宋体"/>
          <w:sz w:val="24"/>
        </w:rPr>
        <w:t>科棚接受可能：若其仅承担协调和自身损坏修复，约60；若要求其独自出资实施，较低。</w:t>
      </w:r>
    </w:p>
    <w:p>
      <w:pPr>
        <w:pStyle w:val="ListBullet"/>
        <w:spacing w:line="360" w:lineRule="auto" w:after="100"/>
      </w:pPr>
      <w:r>
        <w:rPr>
          <w:rFonts w:ascii="宋体" w:hAnsi="宋体" w:eastAsia="宋体"/>
          <w:sz w:val="24"/>
        </w:rPr>
        <w:t>开福棚改投接受可能：取决于项目授权、资金和政策入库，约55。</w:t>
      </w:r>
    </w:p>
    <w:p>
      <w:pPr>
        <w:pStyle w:val="ListBullet"/>
        <w:spacing w:line="360" w:lineRule="auto" w:after="100"/>
      </w:pPr>
      <w:r>
        <w:rPr>
          <w:rFonts w:ascii="宋体" w:hAnsi="宋体" w:eastAsia="宋体"/>
          <w:sz w:val="24"/>
        </w:rPr>
        <w:t>原告接受可能：高，但应保留基础恢复的先行期限，不能以等待方案为由无限延期。</w:t>
      </w:r>
    </w:p>
    <w:p>
      <w:pPr>
        <w:pStyle w:val="ListBullet"/>
        <w:spacing w:line="360" w:lineRule="auto" w:after="100"/>
      </w:pPr>
      <w:r>
        <w:rPr>
          <w:rFonts w:ascii="宋体" w:hAnsi="宋体" w:eastAsia="宋体"/>
          <w:sz w:val="24"/>
        </w:rPr>
        <w:t>执行风险：实施主体无权、行政审批不确定、方案形成后不实施。</w:t>
      </w:r>
    </w:p>
    <w:p>
      <w:pPr>
        <w:pStyle w:val="Heading1"/>
      </w:pPr>
      <w:r>
        <w:t>六、方案四：依法原拆原建型</w:t>
      </w:r>
    </w:p>
    <w:p>
      <w:pPr>
        <w:pStyle w:val="Heading2"/>
      </w:pPr>
      <w:r>
        <w:t>1. 启动条件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只在专业论证确认修缮、加固在安全、经济或保护上明显不合理或不可行，并且取得相关业主依法决策、历史文化保护审查、规划许可、建设审批等条件时讨论。行政管理材料所称C级危房或者鉴定单元Csu级结论本身均不等于必须拆除。</w:t>
      </w:r>
    </w:p>
    <w:p>
      <w:pPr>
        <w:pStyle w:val="Heading2"/>
      </w:pPr>
      <w:r>
        <w:t>2. 完整条件条款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b/>
          <w:sz w:val="24"/>
        </w:rPr>
        <w:t>申请主体</w:t>
      </w:r>
      <w:r>
        <w:rPr>
          <w:rFonts w:ascii="宋体" w:hAnsi="宋体" w:eastAsia="宋体"/>
          <w:sz w:val="24"/>
        </w:rPr>
        <w:t>：由依法确定的房屋安全责任人、业主共同体或项目实施主体提出；科棚仅在有明确授权时参与。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b/>
          <w:sz w:val="24"/>
        </w:rPr>
        <w:t>决策</w:t>
      </w:r>
      <w:r>
        <w:rPr>
          <w:rFonts w:ascii="宋体" w:hAnsi="宋体" w:eastAsia="宋体"/>
          <w:sz w:val="24"/>
        </w:rPr>
        <w:t>：依法完成共有权人表决和书面协议，处理未征收产权和相邻关系。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b/>
          <w:sz w:val="24"/>
        </w:rPr>
        <w:t>保护审查</w:t>
      </w:r>
      <w:r>
        <w:rPr>
          <w:rFonts w:ascii="宋体" w:hAnsi="宋体" w:eastAsia="宋体"/>
          <w:sz w:val="24"/>
        </w:rPr>
        <w:t>：确认该建筑是否为历史建筑、传统风貌建筑或位于核心保护范围，先行完成保护价值评估和设计审查。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b/>
          <w:sz w:val="24"/>
        </w:rPr>
        <w:t>建设指标</w:t>
      </w:r>
      <w:r>
        <w:rPr>
          <w:rFonts w:ascii="宋体" w:hAnsi="宋体" w:eastAsia="宋体"/>
          <w:sz w:val="24"/>
        </w:rPr>
        <w:t>：原址、原面积、原性质、层数、高度、外观、用途以批准文件为准；任何主体不得在调解书中承诺行政机关必须批准超出指标的方案。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b/>
          <w:sz w:val="24"/>
        </w:rPr>
        <w:t>费用</w:t>
      </w:r>
      <w:r>
        <w:rPr>
          <w:rFonts w:ascii="宋体" w:hAnsi="宋体" w:eastAsia="宋体"/>
          <w:sz w:val="24"/>
        </w:rPr>
        <w:t>：明确设计、鉴定、审批、拆除、建设、税费及超支承担；政策补助按实际批准冲抵，不预先视为必然取得。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b/>
          <w:sz w:val="24"/>
        </w:rPr>
        <w:t>过渡期</w:t>
      </w:r>
      <w:r>
        <w:rPr>
          <w:rFonts w:ascii="宋体" w:hAnsi="宋体" w:eastAsia="宋体"/>
          <w:sz w:val="24"/>
        </w:rPr>
        <w:t>：明确腾退条件、临时安置房或安置费标准、支付节点、搬迁和物品保管。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b/>
          <w:sz w:val="24"/>
        </w:rPr>
        <w:t>工期</w:t>
      </w:r>
      <w:r>
        <w:rPr>
          <w:rFonts w:ascii="宋体" w:hAnsi="宋体" w:eastAsia="宋体"/>
          <w:sz w:val="24"/>
        </w:rPr>
        <w:t>：设申报、取得审批、开工、结构封顶、竣工验收和交付节点；因审批未获通过触发替代修缮方案。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b/>
          <w:sz w:val="24"/>
        </w:rPr>
        <w:t>产权登记</w:t>
      </w:r>
      <w:r>
        <w:rPr>
          <w:rFonts w:ascii="宋体" w:hAnsi="宋体" w:eastAsia="宋体"/>
          <w:sz w:val="24"/>
        </w:rPr>
        <w:t>：明确竣工测绘、首次登记、换证、面积差和税费处理。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b/>
          <w:sz w:val="24"/>
        </w:rPr>
        <w:t>违约责任</w:t>
      </w:r>
      <w:r>
        <w:rPr>
          <w:rFonts w:ascii="宋体" w:hAnsi="宋体" w:eastAsia="宋体"/>
          <w:sz w:val="24"/>
        </w:rPr>
        <w:t>：对能够由义务人控制的迟延申报、未交资料、未支付费用、未开工或未交付设定明确责任；对行政审批结果不得设置违法保证。</w:t>
      </w:r>
    </w:p>
    <w:p>
      <w:pPr>
        <w:pStyle w:val="Heading2"/>
      </w:pPr>
      <w:r>
        <w:t>3. 评价</w:t>
      </w:r>
    </w:p>
    <w:p>
      <w:pPr>
        <w:pStyle w:val="ListBullet"/>
        <w:spacing w:line="360" w:lineRule="auto" w:after="100"/>
      </w:pPr>
      <w:r>
        <w:rPr>
          <w:rFonts w:ascii="宋体" w:hAnsi="宋体" w:eastAsia="宋体"/>
          <w:sz w:val="24"/>
        </w:rPr>
        <w:t>现实可行性：25/100；若建筑保护限制较低、业主高度一致、实施主体和资金明确，可升至50。</w:t>
      </w:r>
    </w:p>
    <w:p>
      <w:pPr>
        <w:pStyle w:val="ListBullet"/>
        <w:spacing w:line="360" w:lineRule="auto" w:after="100"/>
      </w:pPr>
      <w:r>
        <w:rPr>
          <w:rFonts w:ascii="宋体" w:hAnsi="宋体" w:eastAsia="宋体"/>
          <w:sz w:val="24"/>
        </w:rPr>
        <w:t>法院直接判决可能：很低。</w:t>
      </w:r>
    </w:p>
    <w:p>
      <w:pPr>
        <w:pStyle w:val="ListBullet"/>
        <w:spacing w:line="360" w:lineRule="auto" w:after="100"/>
      </w:pPr>
      <w:r>
        <w:rPr>
          <w:rFonts w:ascii="宋体" w:hAnsi="宋体" w:eastAsia="宋体"/>
          <w:sz w:val="24"/>
        </w:rPr>
        <w:t>调解价值：作为条件成熟后的升级路径，不应阻碍立即基础修复。</w:t>
      </w:r>
    </w:p>
    <w:p>
      <w:pPr>
        <w:pStyle w:val="ListBullet"/>
        <w:spacing w:line="360" w:lineRule="auto" w:after="100"/>
      </w:pPr>
      <w:r>
        <w:rPr>
          <w:rFonts w:ascii="宋体" w:hAnsi="宋体" w:eastAsia="宋体"/>
          <w:sz w:val="24"/>
        </w:rPr>
        <w:t>核心风险：历史街区保护、其他业主、规划指标、资金和行政审批。</w:t>
      </w:r>
    </w:p>
    <w:p>
      <w:pPr>
        <w:pStyle w:val="Heading1"/>
      </w:pPr>
      <w:r>
        <w:t>七、方案五：产权收购／置换型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长政办发〔2026〕6号“鼓励成片收购存量房屋进行片区更新”“坚持市场化运作方式和运营前置”，说明自愿产权收购已经是长沙认可的市场化更新路径之一。它不是行政征收，不产生科棚或政府强制购买义务。</w:t>
      </w:r>
    </w:p>
    <w:p>
      <w:pPr>
        <w:pStyle w:val="Heading2"/>
      </w:pPr>
      <w:r>
        <w:t>A. 现金收购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由有权买受主体与原告协商价格、定金、付款节点、税费、腾退、交付、权属瑕疵处理、逾期付款和解除条件。价款应基于共同认可的评估或商业协商；法院材料不得披露原告内部底线。</w:t>
      </w:r>
    </w:p>
    <w:p>
      <w:pPr>
        <w:pStyle w:val="Heading2"/>
      </w:pPr>
      <w:r>
        <w:t>B. 产权置换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明确置换房源的权属、位置、用途、建筑面积与套内面积、交付标准、现状或期房风险、抵押查封、过户税费、面积差价和过渡安置。未取得可处分房源前不得只承诺“另行提供”。</w:t>
      </w:r>
    </w:p>
    <w:p>
      <w:pPr>
        <w:pStyle w:val="Heading2"/>
      </w:pPr>
      <w:r>
        <w:t>C. 商业物业置换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除上述事项外，必须审查土地和房屋用途、可经营性、消防、租赁状态、物业费、收益测算、产权年限和过户限制，不以口头收益承诺替代资产质量。</w:t>
      </w:r>
    </w:p>
    <w:p>
      <w:pPr>
        <w:pStyle w:val="Heading2"/>
      </w:pPr>
      <w:r>
        <w:t>D. 现金＋物业组合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分别确定现金和物业价值、支付和交付顺序、任一部分不能履行时的替代现金、担保及诉讼撤回节点。</w:t>
      </w:r>
    </w:p>
    <w:p>
      <w:pPr>
        <w:pStyle w:val="Heading2"/>
      </w:pPr>
      <w:r>
        <w:t>评价</w:t>
      </w:r>
    </w:p>
    <w:p>
      <w:pPr>
        <w:pStyle w:val="ListBullet"/>
        <w:spacing w:line="360" w:lineRule="auto" w:after="100"/>
      </w:pPr>
      <w:r>
        <w:rPr>
          <w:rFonts w:ascii="宋体" w:hAnsi="宋体" w:eastAsia="宋体"/>
          <w:sz w:val="24"/>
        </w:rPr>
        <w:t>法律性质：完全自愿的买卖、置换和一揽子和解。</w:t>
      </w:r>
    </w:p>
    <w:p>
      <w:pPr>
        <w:pStyle w:val="ListBullet"/>
        <w:spacing w:line="360" w:lineRule="auto" w:after="100"/>
      </w:pPr>
      <w:r>
        <w:rPr>
          <w:rFonts w:ascii="宋体" w:hAnsi="宋体" w:eastAsia="宋体"/>
          <w:sz w:val="24"/>
        </w:rPr>
        <w:t>需要主体：具有资金和处分权限的买受/置换主体，科棚如仅运营或协调不能越权承诺。</w:t>
      </w:r>
    </w:p>
    <w:p>
      <w:pPr>
        <w:pStyle w:val="ListBullet"/>
        <w:spacing w:line="360" w:lineRule="auto" w:after="100"/>
      </w:pPr>
      <w:r>
        <w:rPr>
          <w:rFonts w:ascii="宋体" w:hAnsi="宋体" w:eastAsia="宋体"/>
          <w:sz w:val="24"/>
        </w:rPr>
        <w:t>法官推动可能：55/100。法官很可能询问是否存在整体产权解决意愿，但不会决定价格。</w:t>
      </w:r>
    </w:p>
    <w:p>
      <w:pPr>
        <w:pStyle w:val="ListBullet"/>
        <w:spacing w:line="360" w:lineRule="auto" w:after="100"/>
      </w:pPr>
      <w:r>
        <w:rPr>
          <w:rFonts w:ascii="宋体" w:hAnsi="宋体" w:eastAsia="宋体"/>
          <w:sz w:val="24"/>
        </w:rPr>
        <w:t>原告接受可能：取决于条件能否真实替代涉案产权和使用利益。</w:t>
      </w:r>
    </w:p>
    <w:p>
      <w:pPr>
        <w:pStyle w:val="ListBullet"/>
        <w:spacing w:line="360" w:lineRule="auto" w:after="100"/>
      </w:pPr>
      <w:r>
        <w:rPr>
          <w:rFonts w:ascii="宋体" w:hAnsi="宋体" w:eastAsia="宋体"/>
          <w:sz w:val="24"/>
        </w:rPr>
        <w:t>执行风险：买方无授权、房源不确定、付款/过户顺序、项目审批。</w:t>
      </w:r>
    </w:p>
    <w:p>
      <w:pPr>
        <w:pStyle w:val="ListBullet"/>
        <w:spacing w:line="360" w:lineRule="auto" w:after="100"/>
      </w:pPr>
      <w:r>
        <w:rPr>
          <w:rFonts w:ascii="宋体" w:hAnsi="宋体" w:eastAsia="宋体"/>
          <w:sz w:val="24"/>
        </w:rPr>
        <w:t>解决程度：最高，可终结后续通行、修缮和治理争议。</w:t>
      </w:r>
    </w:p>
    <w:p>
      <w:pPr>
        <w:pStyle w:val="Heading1"/>
      </w:pPr>
      <w:r>
        <w:t>八、首选、次选与底线方案</w:t>
      </w:r>
    </w:p>
    <w:p>
      <w:pPr>
        <w:pStyle w:val="Heading2"/>
      </w:pPr>
      <w:r>
        <w:t>首选：基础先履行＋修缮加固复鉴＋限期形成“一屋一策”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法官可能推动，因为它同时存在立即可执行义务和长期治理节点；科棚可将责任限定于自身行为与协调事项；开福棚改投可按既有管理改造角色组织专业方案；原告无需无限等待项目入库即可取得基础恢复。执行难度中等，解决程度高。</w:t>
      </w:r>
    </w:p>
    <w:p>
      <w:pPr>
        <w:pStyle w:val="Heading2"/>
      </w:pPr>
      <w:r>
        <w:t>次选：市场化产权收购或置换的一揽子和解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法官可能推动，因为可彻底终结诉讼和项目产权障碍；科棚或运营方可获得稳定项目条件，但必须由有权、有资金主体签约；开福棚改投可减少长期治理争议；原告在条件充分保障时可一次性实现产权价值。执行难度取决于资金、房源和授权，解决程度最高。</w:t>
      </w:r>
    </w:p>
    <w:p>
      <w:pPr>
        <w:pStyle w:val="Heading2"/>
      </w:pPr>
      <w:r>
        <w:t>底线：基础恢复型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法官最容易推动，科棚无需承认整栋管理身份，开福棚改投仅承担查明属于其范围的事项，原告至少获得垃圾分类清理、钻孔修复、排水检测和安全通行。执行难度最低，但不能彻底解决结构安全和长期更新。</w:t>
      </w:r>
    </w:p>
    <w:p>
      <w:pPr>
        <w:pStyle w:val="Heading1"/>
      </w:pPr>
      <w:r>
        <w:t>九、防止“只承诺不履行”的调解书条款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任何方案均应包含：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准确法人全称、统一社会信用代码和有权签字人；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每一主体单独承担的事项，不使用“相关方”“共同推进”等模糊主体；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点位附图、工程清单和成果文件名称；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起算日、阶段期限、最终期限和合理顺延事由；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费用金额、承担比例、支付对象、账户和发票；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专业机构的选定、资质、委托人及费用；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施工、通水、通行、安全和复核验收标准；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需审批事项的申请人、提交材料、期限及补正义务；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审批未通过、专业方案不可行或第三人不同意时的替代履行；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施工期间的临时安置或安全通行；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逾期、拒绝配合、成果不合格的违约责任；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哪些金钱或行为义务写入民事调解书并可申请强制执行；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分阶段履行与分阶段撤回、放弃请求的对应关系；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不得以调解保密条款掩盖依法必须公开、报批或归档的安全事项。</w:t>
      </w:r>
    </w:p>
    <w:p>
      <w:pPr>
        <w:pStyle w:val="Heading1"/>
      </w:pPr>
      <w:r>
        <w:t>十、模拟承办法官主持调解</w:t>
      </w:r>
    </w:p>
    <w:p>
      <w:pPr>
        <w:spacing w:line="360" w:lineRule="auto" w:after="120" w:before="80"/>
        <w:ind w:left="397" w:right="170" w:firstLine="0"/>
        <w:shd w:fill="EDF2F7"/>
      </w:pPr>
      <w:r>
        <w:rPr>
          <w:rFonts w:ascii="宋体" w:hAnsi="宋体" w:eastAsia="宋体"/>
          <w:color w:val="17365D"/>
          <w:sz w:val="24"/>
        </w:rPr>
        <w:t>以下为程序化问答提纲，不预设任何一方责任，不作为自认。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b/>
          <w:sz w:val="24"/>
        </w:rPr>
        <w:t>法官对原告：</w:t>
      </w:r>
      <w:r>
        <w:rPr>
          <w:rFonts w:ascii="宋体" w:hAnsi="宋体" w:eastAsia="宋体"/>
          <w:sz w:val="24"/>
        </w:rPr>
        <w:t>“你最终要求恢复到什么状态？请不要只说恢复原状。分别说明东301墙体、楼内废料、排水、围挡、通行和结构安全达到什么可以验收的结果。”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b/>
          <w:sz w:val="24"/>
        </w:rPr>
        <w:t>原告代理人建议答复：</w:t>
      </w:r>
      <w:r>
        <w:rPr>
          <w:rFonts w:ascii="宋体" w:hAnsi="宋体" w:eastAsia="宋体"/>
          <w:sz w:val="24"/>
        </w:rPr>
        <w:t>“最低要求是科棚或查明的责任主体停止未经授权进入东301，修复其直接造成的钻孔、剔凿；对仍存废料、排水故障和通行障碍按点位处理。整体上希望通过专业修缮、必要加固和复核，恢复房屋正常、安全使用功能。原告不要求法院直接决定原拆原建；若各方有一屋一策、依法更新或自愿收购置换方案，愿在法院主持下协商。”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b/>
          <w:sz w:val="24"/>
        </w:rPr>
        <w:t>法官对科棚：</w:t>
      </w:r>
      <w:r>
        <w:rPr>
          <w:rFonts w:ascii="宋体" w:hAnsi="宋体" w:eastAsia="宋体"/>
          <w:sz w:val="24"/>
        </w:rPr>
        <w:t>“你方如主张有权组织或参与鉴定，权限来自谁？委托、付款、人员、点位和入户授权在哪里？专项鉴定权限是否包括东301和钻孔？鉴定发现问题以后，谁承担修复或治理？诉后为何能够联系‘城投’清理生活垃圾，以何身份联系，具体主体是谁？”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b/>
          <w:sz w:val="24"/>
        </w:rPr>
        <w:t>科棚需要回答：</w:t>
      </w:r>
      <w:r>
        <w:rPr>
          <w:rFonts w:ascii="宋体" w:hAnsi="宋体" w:eastAsia="宋体"/>
          <w:sz w:val="24"/>
        </w:rPr>
        <w:t>提交书面授权链并区分鉴定协助、现场实施、垃圾协调和长期管理；如只属善意协调，应说明发起人、派工、范围、费用及为何实施主体接受其安排。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b/>
          <w:sz w:val="24"/>
        </w:rPr>
        <w:t>法官对开福棚改投：</w:t>
      </w:r>
      <w:r>
        <w:rPr>
          <w:rFonts w:ascii="宋体" w:hAnsi="宋体" w:eastAsia="宋体"/>
          <w:sz w:val="24"/>
        </w:rPr>
        <w:t>“生效判决认定你方在2015年批复下具有管理、改造依据。该批复现状如何？你方是否授权科棚参与2026年鉴定、进入东301、实施钻孔或协调城投？2022年鉴定单元Csu级结论后已做何加固，2023年主体结构B级完整报告在哪里？当前建筑垃圾、排水、围挡和楼栋治理方案分别是什么？楠木厅12号是否有一房/一屋一策，是否入库？”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b/>
          <w:sz w:val="24"/>
        </w:rPr>
        <w:t>法官对各方：</w:t>
      </w:r>
      <w:r>
        <w:rPr>
          <w:rFonts w:ascii="宋体" w:hAnsi="宋体" w:eastAsia="宋体"/>
          <w:sz w:val="24"/>
        </w:rPr>
        <w:t>“今天先确认能够立即处理的四项：垃圾点位、排水检测、围挡通行、钻孔修复。对结构问题，由谁委托专业机构、谁承担费用、何时复核？在此基础上，是形成一屋一策并依法修缮更新，还是在条件成立时申请原拆原建，或者由有权主体提出自愿收购置换，哪一种能一次性解决？”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b/>
          <w:sz w:val="24"/>
        </w:rPr>
        <w:t>法官归纳：</w:t>
      </w:r>
      <w:r>
        <w:rPr>
          <w:rFonts w:ascii="宋体" w:hAnsi="宋体" w:eastAsia="宋体"/>
          <w:sz w:val="24"/>
        </w:rPr>
        <w:t>“双方对责任可以保留各自主张，但履行内容必须具体。调解书先写可以立即执行的基础事项，再写专业检测、方案形成和审批申请节点。行政审批结果不能由任何一方保证，审批不成必须有替代修缮方案。收购置换完全自愿，先核实签约主体和资金、房源权限，再谈条件。”</w:t>
      </w:r>
    </w:p>
    <w:sectPr w:rsidR="00FC693F" w:rsidRPr="0006063C" w:rsidSect="00034616">
      <w:footerReference w:type="default" r:id="rId9"/>
      <w:pgSz w:w="11906" w:h="16838"/>
      <w:pgMar w:top="1474" w:right="1417" w:bottom="1361" w:left="1531" w:header="680" w:footer="68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宋体" w:hAnsi="宋体" w:eastAsia="宋体"/>
        <w:color w:val="5F6B78"/>
        <w:sz w:val="17"/>
      </w:rPr>
      <w:t xml:space="preserve">楠木厅12号案 · 2026年8月核验版  |  </w:t>
    </w:r>
    <w:r>
      <w:rPr>
        <w:rFonts w:ascii="宋体" w:hAnsi="宋体" w:eastAsia="宋体"/>
        <w:color w:val="5F6B78"/>
        <w:sz w:val="18"/>
      </w:rP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360" w:lineRule="auto" w:after="100"/>
    </w:pPr>
    <w:rPr>
      <w:rFonts w:ascii="宋体" w:hAnsi="宋体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黑体" w:hAnsi="黑体" w:eastAsia="黑体"/>
      <w:b/>
      <w:bCs/>
      <w:color w:val="17365D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 w:ascii="黑体" w:hAnsi="黑体" w:eastAsia="黑体"/>
      <w:b/>
      <w:bCs/>
      <w:color w:val="17365D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 w:ascii="黑体" w:hAnsi="黑体" w:eastAsia="黑体"/>
      <w:b/>
      <w:bCs/>
      <w:color w:val="17365D"/>
      <w:sz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120"/>
      <w:outlineLvl w:val="3"/>
    </w:pPr>
    <w:rPr>
      <w:rFonts w:asciiTheme="majorHAnsi" w:eastAsiaTheme="majorEastAsia" w:hAnsiTheme="majorHAnsi" w:cstheme="majorBidi" w:ascii="黑体" w:hAnsi="黑体" w:eastAsia="黑体"/>
      <w:b/>
      <w:bCs/>
      <w:i/>
      <w:iCs/>
      <w:color w:val="17365D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法院调解方案_长沙城市更新政策版</dc:title>
  <dc:subject>楠木厅12号排除妨害纠纷专题材料</dc:subject>
  <dc:creator>案件代理工作组</dc:creator>
  <cp:keywords>排除妨害; 城市更新; 潮宗街; 房屋安全; 调解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