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Pr>
        <w:spacing w:after="360"/>
        <w:jc w:val="center"/>
      </w:pPr>
      <w:r>
        <w:rPr>
          <w:rFonts w:ascii="方正小标宋简体" w:hAnsi="方正小标宋简体" w:eastAsia="方正小标宋简体"/>
          <w:b/>
          <w:color w:val="17365D"/>
          <w:sz w:val="48"/>
        </w:rPr>
        <w:t>最终评分与放行报告</w:t>
      </w:r>
    </w:p>
    <w:p>
      <w:pPr>
        <w:jc w:val="center"/>
      </w:pPr>
      <w:r>
        <w:rPr>
          <w:rFonts w:ascii="宋体" w:hAnsi="宋体" w:eastAsia="宋体"/>
          <w:color w:val="5F6B78"/>
          <w:sz w:val="24"/>
        </w:rPr>
        <w:t>李运芳诉长沙科棚潮宗街商业管理有限公司排除妨害纠纷案</w:t>
      </w:r>
    </w:p>
    <w:p>
      <w:pPr>
        <w:spacing w:before="2800"/>
        <w:jc w:val="center"/>
      </w:pPr>
      <w:r>
        <w:rPr>
          <w:rFonts w:ascii="宋体" w:hAnsi="宋体" w:eastAsia="宋体"/>
          <w:color w:val="5F6B78"/>
          <w:sz w:val="22"/>
        </w:rPr>
        <w:t>原始材料与官方法源核验 · 2026年8月14日</w:t>
      </w:r>
    </w:p>
    <w:p>
      <w:r>
        <w:br w:type="page"/>
      </w:r>
    </w:p>
    <w:p>
      <w:pPr>
        <w:spacing w:line="360" w:lineRule="auto" w:after="100"/>
        <w:ind w:firstLine="420"/>
      </w:pPr>
      <w:r>
        <w:rPr>
          <w:rFonts w:ascii="宋体" w:hAnsi="宋体" w:eastAsia="宋体"/>
          <w:sz w:val="24"/>
        </w:rPr>
        <w:t>复核日期：2026年8月14日</w:t>
      </w:r>
    </w:p>
    <w:p>
      <w:pPr>
        <w:spacing w:line="360" w:lineRule="auto" w:after="100"/>
        <w:ind w:firstLine="420"/>
      </w:pPr>
      <w:r>
        <w:rPr>
          <w:rFonts w:ascii="宋体" w:hAnsi="宋体" w:eastAsia="宋体"/>
          <w:sz w:val="24"/>
        </w:rPr>
        <w:t>复核对象：《新版代理意见_长沙城市更新政策综合重构版_V3》及其诉请、点位、补证和调解配套文件。</w:t>
      </w:r>
    </w:p>
    <w:p>
      <w:pPr>
        <w:pStyle w:val="Heading1"/>
      </w:pPr>
      <w:r>
        <w:t>一、总放行结论</w:t>
      </w:r>
    </w:p>
    <w:p>
      <w:pPr>
        <w:spacing w:line="360" w:lineRule="auto" w:after="100"/>
        <w:ind w:firstLine="420"/>
      </w:pPr>
      <w:r>
        <w:rPr>
          <w:rFonts w:ascii="宋体" w:hAnsi="宋体" w:eastAsia="宋体"/>
          <w:sz w:val="24"/>
        </w:rPr>
        <w:t>代理意见正文在补齐案号、证据编号、代理人和日期后，法律结构及法律语言层面</w:t>
      </w:r>
      <w:r>
        <w:rPr>
          <w:rFonts w:ascii="宋体" w:hAnsi="宋体" w:eastAsia="宋体"/>
          <w:b/>
          <w:sz w:val="24"/>
        </w:rPr>
        <w:t>有条件放行</w:t>
      </w:r>
      <w:r>
        <w:rPr>
          <w:rFonts w:ascii="宋体" w:hAnsi="宋体" w:eastAsia="宋体"/>
          <w:sz w:val="24"/>
        </w:rPr>
        <w:t>。不得将本项目表述为七项硬性门槛全部通过：诉请可执行性为84分，低于85分门槛。该差距来自门牌同一性、P1至P4平面定位、尺寸、构件性质、P3是否重复及行为归属等客观证据和现场参数缺口，无法通过继续修改文字解决。</w:t>
      </w:r>
    </w:p>
    <w:p>
      <w:pPr>
        <w:spacing w:line="360" w:lineRule="auto" w:after="100"/>
        <w:ind w:firstLine="420"/>
      </w:pPr>
      <w:r>
        <w:rPr>
          <w:rFonts w:ascii="宋体" w:hAnsi="宋体" w:eastAsia="宋体"/>
          <w:sz w:val="24"/>
        </w:rPr>
        <w:t>《变更、明确诉讼请求申请书》目前只作为内部建议稿使用；《损坏点位、修复措施、期限与验收附件》只作为现场勘验工作稿使用。完成勘验、填入客观参数并删除条件性及内部提示文字后，方可分别形成正式申请和判决执行附件。</w:t>
      </w:r>
    </w:p>
    <w:p>
      <w:pPr>
        <w:pStyle w:val="Heading1"/>
      </w:pPr>
      <w:r>
        <w:t>二、Final Reviewer V3十五项评分</w:t>
      </w:r>
    </w:p>
    <w:tbl>
      <w:tblPr>
        <w:tblW w:type="auto" w:w="0"/>
        <w:jc w:val="center"/>
        <w:tblLayout w:type="autofit"/>
        <w:tblLook w:firstColumn="1" w:firstRow="1" w:lastColumn="0" w:lastRow="0" w:noHBand="0" w:noVBand="1" w:val="04A0"/>
      </w:tblPr>
      <w:tblGrid>
        <w:gridCol w:w="2986"/>
        <w:gridCol w:w="2986"/>
        <w:gridCol w:w="2986"/>
      </w:tblGrid>
      <w:tr>
        <w:trPr>
          <w:tblHeader/>
        </w:trPr>
        <w:tc>
          <w:tcPr>
            <w:tcW w:type="dxa" w:w="2986"/>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项目</w:t>
            </w:r>
          </w:p>
        </w:tc>
        <w:tc>
          <w:tcPr>
            <w:tcW w:type="dxa" w:w="2986"/>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得分</w:t>
            </w:r>
          </w:p>
        </w:tc>
        <w:tc>
          <w:tcPr>
            <w:tcW w:type="dxa" w:w="2986"/>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结论</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法律严谨度</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94</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通过硬门槛</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法言法语准确度</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95</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通过硬门槛</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主体适格论证</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93</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通过硬门槛</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科棚与城投垃圾处置证据运用</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96</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分层评价合格，但事实仍待原始证据固定</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权限链分析</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95</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授权、委托、用工、承揽、项目管理已区分</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开福棚改投处理</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95</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窄诉请与广诉请的程序选择明确</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因果关系</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64</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低分源于行为人和点位缺少直接连接证据</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诉请可执行性</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84</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未通过硬门槛，须现场勘验和定点测量</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城市更新政策准确度</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97</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通过硬门槛</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政策与民事责任边界</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99</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通过硬门槛</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B/C鉴定使用</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98</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已准确写为2022年Bu、Cu、Cu、Csu；2023年仅引用裁判转述的主体结构B级</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共有权程序处理</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94</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专有部分、个别共有权保护、重大共有事项三分处理</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法官说服力</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88</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通过硬门槛</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对抗被告能力</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82</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主要受“谁进入、谁钻孔、谁控制”证据缺口限制</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调解方案成熟度</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88</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主体、期限、验收、审批和替代履行框架完整</w:t>
            </w:r>
          </w:p>
        </w:tc>
      </w:tr>
    </w:tbl>
    <w:p>
      <w:pPr>
        <w:spacing w:after="20"/>
      </w:pPr>
    </w:p>
    <w:p>
      <w:pPr>
        <w:pStyle w:val="Heading1"/>
      </w:pPr>
      <w:r>
        <w:t>三、硬性门槛核验</w:t>
      </w:r>
    </w:p>
    <w:tbl>
      <w:tblPr>
        <w:tblW w:type="auto" w:w="0"/>
        <w:jc w:val="center"/>
        <w:tblLayout w:type="autofit"/>
        <w:tblLook w:firstColumn="1" w:firstRow="1" w:lastColumn="0" w:lastRow="0" w:noHBand="0" w:noVBand="1" w:val="04A0"/>
      </w:tblPr>
      <w:tblGrid>
        <w:gridCol w:w="2239"/>
        <w:gridCol w:w="2239"/>
        <w:gridCol w:w="2239"/>
        <w:gridCol w:w="2239"/>
      </w:tblGrid>
      <w:tr>
        <w:trPr>
          <w:tblHeader/>
        </w:trPr>
        <w:tc>
          <w:tcPr>
            <w:tcW w:type="dxa" w:w="2239"/>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硬性指标</w:t>
            </w:r>
          </w:p>
        </w:tc>
        <w:tc>
          <w:tcPr>
            <w:tcW w:type="dxa" w:w="2239"/>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要求</w:t>
            </w:r>
          </w:p>
        </w:tc>
        <w:tc>
          <w:tcPr>
            <w:tcW w:type="dxa" w:w="2239"/>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得分</w:t>
            </w:r>
          </w:p>
        </w:tc>
        <w:tc>
          <w:tcPr>
            <w:tcW w:type="dxa" w:w="2239"/>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结果</w:t>
            </w:r>
          </w:p>
        </w:tc>
      </w:tr>
      <w:tr>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法律严谨度</w:t>
            </w:r>
          </w:p>
        </w:tc>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≥90</w:t>
            </w:r>
          </w:p>
        </w:tc>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94</w:t>
            </w:r>
          </w:p>
        </w:tc>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通过</w:t>
            </w:r>
          </w:p>
        </w:tc>
      </w:tr>
      <w:tr>
        <w:tc>
          <w:tcPr>
            <w:tcW w:type="dxa" w:w="223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法言法语准确度</w:t>
            </w:r>
          </w:p>
        </w:tc>
        <w:tc>
          <w:tcPr>
            <w:tcW w:type="dxa" w:w="223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≥95</w:t>
            </w:r>
          </w:p>
        </w:tc>
        <w:tc>
          <w:tcPr>
            <w:tcW w:type="dxa" w:w="223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95</w:t>
            </w:r>
          </w:p>
        </w:tc>
        <w:tc>
          <w:tcPr>
            <w:tcW w:type="dxa" w:w="223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通过</w:t>
            </w:r>
          </w:p>
        </w:tc>
      </w:tr>
      <w:tr>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主体适格论证</w:t>
            </w:r>
          </w:p>
        </w:tc>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≥90</w:t>
            </w:r>
          </w:p>
        </w:tc>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93</w:t>
            </w:r>
          </w:p>
        </w:tc>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通过</w:t>
            </w:r>
          </w:p>
        </w:tc>
      </w:tr>
      <w:tr>
        <w:tc>
          <w:tcPr>
            <w:tcW w:type="dxa" w:w="223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城市更新政策准确度</w:t>
            </w:r>
          </w:p>
        </w:tc>
        <w:tc>
          <w:tcPr>
            <w:tcW w:type="dxa" w:w="223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≥90</w:t>
            </w:r>
          </w:p>
        </w:tc>
        <w:tc>
          <w:tcPr>
            <w:tcW w:type="dxa" w:w="223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97</w:t>
            </w:r>
          </w:p>
        </w:tc>
        <w:tc>
          <w:tcPr>
            <w:tcW w:type="dxa" w:w="223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通过</w:t>
            </w:r>
          </w:p>
        </w:tc>
      </w:tr>
      <w:tr>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政策与民事责任边界</w:t>
            </w:r>
          </w:p>
        </w:tc>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≥95</w:t>
            </w:r>
          </w:p>
        </w:tc>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99</w:t>
            </w:r>
          </w:p>
        </w:tc>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通过</w:t>
            </w:r>
          </w:p>
        </w:tc>
      </w:tr>
      <w:tr>
        <w:tc>
          <w:tcPr>
            <w:tcW w:type="dxa" w:w="223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法官说服力</w:t>
            </w:r>
          </w:p>
        </w:tc>
        <w:tc>
          <w:tcPr>
            <w:tcW w:type="dxa" w:w="223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≥85</w:t>
            </w:r>
          </w:p>
        </w:tc>
        <w:tc>
          <w:tcPr>
            <w:tcW w:type="dxa" w:w="223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88</w:t>
            </w:r>
          </w:p>
        </w:tc>
        <w:tc>
          <w:tcPr>
            <w:tcW w:type="dxa" w:w="223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通过</w:t>
            </w:r>
          </w:p>
        </w:tc>
      </w:tr>
      <w:tr>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诉请可执行性</w:t>
            </w:r>
          </w:p>
        </w:tc>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≥85</w:t>
            </w:r>
          </w:p>
        </w:tc>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84</w:t>
            </w:r>
          </w:p>
        </w:tc>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sz w:val="20"/>
              </w:rPr>
              <w:t>未通过</w:t>
            </w:r>
          </w:p>
        </w:tc>
      </w:tr>
    </w:tbl>
    <w:p>
      <w:pPr>
        <w:spacing w:after="20"/>
      </w:pPr>
    </w:p>
    <w:p>
      <w:pPr>
        <w:spacing w:line="360" w:lineRule="auto" w:after="100"/>
        <w:ind w:firstLine="420"/>
      </w:pPr>
      <w:r>
        <w:rPr>
          <w:rFonts w:ascii="宋体" w:hAnsi="宋体" w:eastAsia="宋体"/>
          <w:sz w:val="24"/>
        </w:rPr>
        <w:t>按照最多修订至V3且不得虚构高分的要求，本项目不再以语言润色掩盖证据缺口。完成门牌同一性证明和法院现场勘验，将P1至P4坐标、尺寸、构件性质及重复情况填入附件后，可执行性预计可提高至88分；科棚是否承担实体责任仍由行为归属证据决定。</w:t>
      </w:r>
    </w:p>
    <w:p>
      <w:pPr>
        <w:pStyle w:val="Heading1"/>
      </w:pPr>
      <w:r>
        <w:t>四、四轮独立审查的主要结论及处理</w:t>
      </w:r>
    </w:p>
    <w:p>
      <w:pPr>
        <w:pStyle w:val="Heading2"/>
      </w:pPr>
      <w:r>
        <w:t>1. Legal Reviewer</w:t>
      </w:r>
    </w:p>
    <w:p>
      <w:pPr>
        <w:spacing w:line="360" w:lineRule="auto" w:after="100"/>
        <w:ind w:firstLine="420"/>
      </w:pPr>
      <w:r>
        <w:rPr>
          <w:rFonts w:ascii="宋体" w:hAnsi="宋体" w:eastAsia="宋体"/>
          <w:sz w:val="24"/>
        </w:rPr>
        <w:t>指出物权请求权与侵权请求权不可统一套用过错要件；原告作为所有权人的房屋安全责任必须正面处理；原告须先对科棚参与行为承担初步举证责任；独立承揽人责任应适用《民法典》第一千一百九十三条；广泛楼栋给付请求原则上应由开福棚改投作为共同被告参加。上述意见已纳入V2及V3。</w:t>
      </w:r>
    </w:p>
    <w:p>
      <w:pPr>
        <w:pStyle w:val="Heading2"/>
      </w:pPr>
      <w:r>
        <w:t>2. Defense Reviewer</w:t>
      </w:r>
    </w:p>
    <w:p>
      <w:pPr>
        <w:spacing w:line="360" w:lineRule="auto" w:after="100"/>
        <w:ind w:firstLine="420"/>
      </w:pPr>
      <w:r>
        <w:rPr>
          <w:rFonts w:ascii="宋体" w:hAnsi="宋体" w:eastAsia="宋体"/>
          <w:sz w:val="24"/>
        </w:rPr>
        <w:t>提出66项抗辩。最有杀伤力的抗辩不是政策问题，而是原始证据尚未把科棚人员与入户、钻孔、P1至P4点位及损坏形成时间直接连接。该缺口已在正文、诉请评估和补证清单中正面披露；未以主体适格替代实体责任证明。</w:t>
      </w:r>
    </w:p>
    <w:p>
      <w:pPr>
        <w:pStyle w:val="Heading2"/>
      </w:pPr>
      <w:r>
        <w:t>3. Judge Reviewer</w:t>
      </w:r>
    </w:p>
    <w:p>
      <w:pPr>
        <w:spacing w:line="360" w:lineRule="auto" w:after="100"/>
        <w:ind w:firstLine="420"/>
      </w:pPr>
      <w:r>
        <w:rPr>
          <w:rFonts w:ascii="宋体" w:hAnsi="宋体" w:eastAsia="宋体"/>
          <w:sz w:val="24"/>
        </w:rPr>
        <w:t>认定科棚就原告主张的直接现场行为具有程序上的被告主体适格性，但按当前证据，针对科棚的具体给付或禁止请求尚未达到充分证明；若开庭前没有新证据，全部诉请被驳回的风险约72%。广泛楼栋恢复请求下，追加开福棚改投的必要性为88%；仅处理东301直接侵害时约30%。</w:t>
      </w:r>
    </w:p>
    <w:p>
      <w:pPr>
        <w:pStyle w:val="Heading2"/>
      </w:pPr>
      <w:r>
        <w:t>4. Legal Language Reviewer</w:t>
      </w:r>
    </w:p>
    <w:p>
      <w:pPr>
        <w:spacing w:line="360" w:lineRule="auto" w:after="100"/>
        <w:ind w:firstLine="420"/>
      </w:pPr>
      <w:r>
        <w:rPr>
          <w:rFonts w:ascii="宋体" w:hAnsi="宋体" w:eastAsia="宋体"/>
          <w:sz w:val="24"/>
        </w:rPr>
        <w:t>完成逐句审校，重点纠正主体适格与实体责任、自认与协调行为、授权与委托、管理职责与项目合作、政策治理路径与民事请求权等概念混用。V3法言法语得分达到95分。</w:t>
      </w:r>
    </w:p>
    <w:p>
      <w:pPr>
        <w:pStyle w:val="Heading2"/>
      </w:pPr>
      <w:r>
        <w:t>5. Final Reviewer</w:t>
      </w:r>
    </w:p>
    <w:p>
      <w:pPr>
        <w:spacing w:line="360" w:lineRule="auto" w:after="100"/>
        <w:ind w:firstLine="420"/>
      </w:pPr>
      <w:r>
        <w:rPr>
          <w:rFonts w:ascii="宋体" w:hAnsi="宋体" w:eastAsia="宋体"/>
          <w:sz w:val="24"/>
        </w:rPr>
        <w:t>V2不放行后，V3已更正2022年鉴定等级为Bu、Cu、Cu、Csu，拆分权源、范围、程序三个审查层次，并形成窄诉请建议稿和点位附件。终审仅对正文有条件放行，不对尚待勘验的执行附件无条件放行。</w:t>
      </w:r>
    </w:p>
    <w:p>
      <w:pPr>
        <w:pStyle w:val="Heading1"/>
      </w:pPr>
      <w:r>
        <w:t>五、五个硬结论</w:t>
      </w:r>
    </w:p>
    <w:p>
      <w:pPr>
        <w:pStyle w:val="Heading2"/>
      </w:pPr>
      <w:r>
        <w:t>结论1：科棚是否具有本案被告主体适格性</w:t>
      </w:r>
    </w:p>
    <w:p>
      <w:pPr>
        <w:spacing w:line="360" w:lineRule="auto" w:after="100"/>
        <w:ind w:firstLine="420"/>
      </w:pPr>
      <w:r>
        <w:rPr>
          <w:rFonts w:ascii="宋体" w:hAnsi="宋体" w:eastAsia="宋体"/>
          <w:b/>
          <w:sz w:val="24"/>
        </w:rPr>
        <w:t>科棚就原告明确主张的2026年入户、侵入性检测及其法律后果，与本案诉争法律关系具有程序上的直接关联，具有本案被告主体适格性。置信度90%。</w:t>
      </w:r>
      <w:r>
        <w:rPr>
          <w:rFonts w:ascii="宋体" w:hAnsi="宋体" w:eastAsia="宋体"/>
          <w:sz w:val="24"/>
        </w:rPr>
        <w:t>该结论只解决其是否应作为被告接受实体审理，不等于科棚已经被证明实施相应行为，也不等于其承担整栋楼全部责任。</w:t>
      </w:r>
    </w:p>
    <w:p>
      <w:pPr>
        <w:pStyle w:val="Heading2"/>
      </w:pPr>
      <w:r>
        <w:t>结论2：诉后协调城投清理生活垃圾的证明价值</w:t>
      </w:r>
    </w:p>
    <w:p>
      <w:pPr>
        <w:spacing w:line="360" w:lineRule="auto" w:after="100"/>
        <w:ind w:firstLine="420"/>
      </w:pPr>
      <w:r>
        <w:rPr>
          <w:rFonts w:ascii="宋体" w:hAnsi="宋体" w:eastAsia="宋体"/>
          <w:sz w:val="24"/>
        </w:rPr>
        <w:t>在取得工作群、通知、派工、付款、现场人员及准确法人身份等原始证据后，对科棚主体适格的证明价值评为</w:t>
      </w:r>
      <w:r>
        <w:rPr>
          <w:rFonts w:ascii="宋体" w:hAnsi="宋体" w:eastAsia="宋体"/>
          <w:b/>
          <w:sz w:val="24"/>
        </w:rPr>
        <w:t>65/100</w:t>
      </w:r>
      <w:r>
        <w:rPr>
          <w:rFonts w:ascii="宋体" w:hAnsi="宋体" w:eastAsia="宋体"/>
          <w:sz w:val="24"/>
        </w:rPr>
        <w:t>，对科棚实际参与楼栋事务的证明价值评为</w:t>
      </w:r>
      <w:r>
        <w:rPr>
          <w:rFonts w:ascii="宋体" w:hAnsi="宋体" w:eastAsia="宋体"/>
          <w:b/>
          <w:sz w:val="24"/>
        </w:rPr>
        <w:t>85/100</w:t>
      </w:r>
      <w:r>
        <w:rPr>
          <w:rFonts w:ascii="宋体" w:hAnsi="宋体" w:eastAsia="宋体"/>
          <w:sz w:val="24"/>
        </w:rPr>
        <w:t>。在本项目现有证据目录尚无上述原始材料的状态下，当前可用证明价值仅约</w:t>
      </w:r>
      <w:r>
        <w:rPr>
          <w:rFonts w:ascii="宋体" w:hAnsi="宋体" w:eastAsia="宋体"/>
          <w:b/>
          <w:sz w:val="24"/>
        </w:rPr>
        <w:t>10/100</w:t>
      </w:r>
      <w:r>
        <w:rPr>
          <w:rFonts w:ascii="宋体" w:hAnsi="宋体" w:eastAsia="宋体"/>
          <w:sz w:val="24"/>
        </w:rPr>
        <w:t>。该行为不构成对全部责任的自认，也不能单独证明科棚是法定管理主体。</w:t>
      </w:r>
    </w:p>
    <w:p>
      <w:pPr>
        <w:pStyle w:val="Heading2"/>
      </w:pPr>
      <w:r>
        <w:t>结论3：城市更新政策能否支持重构诉讼主线</w:t>
      </w:r>
    </w:p>
    <w:p>
      <w:pPr>
        <w:spacing w:line="360" w:lineRule="auto" w:after="100"/>
        <w:ind w:firstLine="420"/>
      </w:pPr>
      <w:r>
        <w:rPr>
          <w:rFonts w:ascii="宋体" w:hAnsi="宋体" w:eastAsia="宋体"/>
          <w:b/>
          <w:sz w:val="24"/>
        </w:rPr>
        <w:t>能够，支持度88/100。</w:t>
      </w:r>
      <w:r>
        <w:rPr>
          <w:rFonts w:ascii="宋体" w:hAnsi="宋体" w:eastAsia="宋体"/>
          <w:sz w:val="24"/>
        </w:rPr>
        <w:t>政策足以说明危险住房治理、房屋体检、问题闭环、潮宗街保护修缮及多元更新路径具有现实制度基础，从而支持把抽象“恢复原状”改造为“排除具体妨害、修复可归责损坏、恢复相应正常安全使用功能”。政策不直接创设科棚实施“一屋一策”、原拆原建、城市更新或收购的民事义务。</w:t>
      </w:r>
    </w:p>
    <w:p>
      <w:pPr>
        <w:pStyle w:val="Heading2"/>
      </w:pPr>
      <w:r>
        <w:t>结论4：是否建议追加开福棚改投</w:t>
      </w:r>
    </w:p>
    <w:p>
      <w:pPr>
        <w:spacing w:line="360" w:lineRule="auto" w:after="100"/>
        <w:ind w:firstLine="420"/>
      </w:pPr>
      <w:r>
        <w:rPr>
          <w:rFonts w:ascii="宋体" w:hAnsi="宋体" w:eastAsia="宋体"/>
          <w:b/>
          <w:sz w:val="24"/>
        </w:rPr>
        <w:t>有条件建议。</w:t>
      </w:r>
      <w:r>
        <w:rPr>
          <w:rFonts w:ascii="宋体" w:hAnsi="宋体" w:eastAsia="宋体"/>
          <w:sz w:val="24"/>
        </w:rPr>
        <w:t>如正式诉请限于制止科棚未经合法权源或超越权限范围进入东301，以及修复能够证明由科棚造成的具体孔洞，不建议仅为查明授权而追加共同被告，必要性30/100，可申请其作为第三人参加或调查其材料。如继续主张建筑废料、共同排水、围挡、整栋修缮加固及恢复整体安全使用功能，建议将开福棚改投追加为共同被告并分列义务，必要性88/100。综合置信度90%。</w:t>
      </w:r>
    </w:p>
    <w:p>
      <w:pPr>
        <w:pStyle w:val="Heading2"/>
      </w:pPr>
      <w:r>
        <w:t>结论5：最优裁判主线与最优调解主线</w:t>
      </w:r>
    </w:p>
    <w:p>
      <w:pPr>
        <w:spacing w:line="360" w:lineRule="auto" w:after="100"/>
        <w:ind w:firstLine="420"/>
      </w:pPr>
      <w:r>
        <w:rPr>
          <w:rFonts w:ascii="宋体" w:hAnsi="宋体" w:eastAsia="宋体"/>
          <w:b/>
          <w:sz w:val="24"/>
        </w:rPr>
        <w:t>最优裁判主线只有一个：</w:t>
      </w:r>
      <w:r>
        <w:rPr>
          <w:rFonts w:ascii="宋体" w:hAnsi="宋体" w:eastAsia="宋体"/>
          <w:sz w:val="24"/>
        </w:rPr>
        <w:t>在证明行为归属后，判令科棚停止缺乏权限来源、超出权限对象或范围，或者虽有权限但未履行必要程序的特定侵入性行为，并按经勘验确认的点位修复其直接造成的具体损坏；其他楼栋级事项按行为人、管理人及因果关系另行分列。</w:t>
      </w:r>
    </w:p>
    <w:p>
      <w:pPr>
        <w:spacing w:line="360" w:lineRule="auto" w:after="100"/>
        <w:ind w:firstLine="420"/>
      </w:pPr>
      <w:r>
        <w:rPr>
          <w:rFonts w:ascii="宋体" w:hAnsi="宋体" w:eastAsia="宋体"/>
          <w:b/>
          <w:sz w:val="24"/>
        </w:rPr>
        <w:t>最优调解主线只有一个：</w:t>
      </w:r>
      <w:r>
        <w:rPr>
          <w:rFonts w:ascii="宋体" w:hAnsi="宋体" w:eastAsia="宋体"/>
          <w:sz w:val="24"/>
        </w:rPr>
        <w:t>由科棚、开福棚改投、必要产权人及实际实施主体共同参加，第一阶段立即处理可确认的垃圾、排水、安全通行和孔洞，第二阶段以专业检测为基础形成楠木厅12号具体治理方案，实施修缮加固、复核及问题销号；自愿收购置换仅作为条件成熟时的替代闭环。</w:t>
      </w:r>
    </w:p>
    <w:p>
      <w:pPr>
        <w:pStyle w:val="Heading1"/>
      </w:pPr>
      <w:r>
        <w:t>六、提交前最后核对</w:t>
      </w:r>
    </w:p>
    <w:p>
      <w:pPr>
        <w:pStyle w:val="ListNumber"/>
        <w:spacing w:line="360" w:lineRule="auto" w:after="100"/>
      </w:pPr>
      <w:r>
        <w:rPr>
          <w:rFonts w:ascii="宋体" w:hAnsi="宋体" w:eastAsia="宋体"/>
          <w:sz w:val="24"/>
        </w:rPr>
        <w:t>补齐案号、代理人、日期及每份引用材料的证据编号；</w:t>
      </w:r>
    </w:p>
    <w:p>
      <w:pPr>
        <w:pStyle w:val="ListNumber"/>
        <w:spacing w:line="360" w:lineRule="auto" w:after="100"/>
      </w:pPr>
      <w:r>
        <w:rPr>
          <w:rFonts w:ascii="宋体" w:hAnsi="宋体" w:eastAsia="宋体"/>
          <w:sz w:val="24"/>
        </w:rPr>
        <w:t>取得东301、303及旧门牌对应关系的登记或地名证明；</w:t>
      </w:r>
    </w:p>
    <w:p>
      <w:pPr>
        <w:pStyle w:val="ListNumber"/>
        <w:spacing w:line="360" w:lineRule="auto" w:after="100"/>
      </w:pPr>
      <w:r>
        <w:rPr>
          <w:rFonts w:ascii="宋体" w:hAnsi="宋体" w:eastAsia="宋体"/>
          <w:sz w:val="24"/>
        </w:rPr>
        <w:t>申请现场勘验，完成P1至P4平面定位、测量和构件性质确认；</w:t>
      </w:r>
    </w:p>
    <w:p>
      <w:pPr>
        <w:pStyle w:val="ListNumber"/>
        <w:spacing w:line="360" w:lineRule="auto" w:after="100"/>
      </w:pPr>
      <w:r>
        <w:rPr>
          <w:rFonts w:ascii="宋体" w:hAnsi="宋体" w:eastAsia="宋体"/>
          <w:sz w:val="24"/>
        </w:rPr>
        <w:t>取得完整接处警材料、原始音视频和现场人员身份资料；</w:t>
      </w:r>
    </w:p>
    <w:p>
      <w:pPr>
        <w:pStyle w:val="ListNumber"/>
        <w:spacing w:line="360" w:lineRule="auto" w:after="100"/>
      </w:pPr>
      <w:r>
        <w:rPr>
          <w:rFonts w:ascii="宋体" w:hAnsi="宋体" w:eastAsia="宋体"/>
          <w:sz w:val="24"/>
        </w:rPr>
        <w:t>查明鉴定委托、付款、派工、人员任务及是否存在开福棚改投向科棚的书面权限链；</w:t>
      </w:r>
    </w:p>
    <w:p>
      <w:pPr>
        <w:pStyle w:val="ListNumber"/>
        <w:spacing w:line="360" w:lineRule="auto" w:after="100"/>
      </w:pPr>
      <w:r>
        <w:rPr>
          <w:rFonts w:ascii="宋体" w:hAnsi="宋体" w:eastAsia="宋体"/>
          <w:sz w:val="24"/>
        </w:rPr>
        <w:t>取得科棚协调“城投”清运垃圾的原始材料并核定“城投”准确法人；</w:t>
      </w:r>
    </w:p>
    <w:p>
      <w:pPr>
        <w:pStyle w:val="ListNumber"/>
        <w:spacing w:line="360" w:lineRule="auto" w:after="100"/>
      </w:pPr>
      <w:r>
        <w:rPr>
          <w:rFonts w:ascii="宋体" w:hAnsi="宋体" w:eastAsia="宋体"/>
          <w:sz w:val="24"/>
        </w:rPr>
        <w:t>在窄诉请和广诉请之间作最终程序选择；选择广诉请时追加开福棚改投并分别表述义务；</w:t>
      </w:r>
    </w:p>
    <w:p>
      <w:pPr>
        <w:pStyle w:val="ListNumber"/>
        <w:spacing w:line="360" w:lineRule="auto" w:after="100"/>
      </w:pPr>
      <w:r>
        <w:rPr>
          <w:rFonts w:ascii="宋体" w:hAnsi="宋体" w:eastAsia="宋体"/>
          <w:sz w:val="24"/>
        </w:rPr>
        <w:t>正式提交变更申请时删除“建议稿”和内部核对提示，并将点位附件替换为勘验后定稿。</w:t>
      </w:r>
    </w:p>
    <w:p>
      <w:pPr>
        <w:spacing w:line="360" w:lineRule="auto" w:after="100"/>
        <w:ind w:firstLine="420"/>
      </w:pPr>
      <w:r>
        <w:rPr>
          <w:rFonts w:ascii="宋体" w:hAnsi="宋体" w:eastAsia="宋体"/>
          <w:sz w:val="24"/>
        </w:rPr>
        <w:t>最终自检结论：本套文件已经能够使首次接触案件的法官清楚区分科棚的主体适格性与实体责任、政策背景与民事请求权、直接损坏与整栋治理、判决事项与调解事项；但在取得行为归属和现场点位证据前，不能宣称针对科棚的实体请求已经达到证明标准，也不能将工作附件冒充为可直接执行的判项附件。</w:t>
      </w:r>
    </w:p>
    <w:sectPr w:rsidR="00FC693F" w:rsidRPr="0006063C" w:rsidSect="00034616">
      <w:footerReference w:type="default" r:id="rId9"/>
      <w:pgSz w:w="11906" w:h="16838"/>
      <w:pgMar w:top="1474" w:right="1417" w:bottom="1361" w:left="1531"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宋体" w:hAnsi="宋体" w:eastAsia="宋体"/>
        <w:color w:val="5F6B78"/>
        <w:sz w:val="17"/>
      </w:rPr>
      <w:t xml:space="preserve">楠木厅12号案 · 2026年8月核验版  |  </w:t>
    </w:r>
    <w:r>
      <w:rPr>
        <w:rFonts w:ascii="宋体" w:hAnsi="宋体" w:eastAsia="宋体"/>
        <w:color w:val="5F6B78"/>
        <w:sz w:val="18"/>
      </w:rPr>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360" w:lineRule="auto" w:after="100"/>
    </w:pPr>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黑体" w:hAnsi="黑体" w:eastAsia="黑体"/>
      <w:b/>
      <w:bCs/>
      <w:color w:val="17365D"/>
      <w:sz w:val="36"/>
      <w:szCs w:val="28"/>
    </w:rPr>
  </w:style>
  <w:style w:type="paragraph" w:styleId="Heading2">
    <w:name w:val="heading 2"/>
    <w:basedOn w:val="Normal"/>
    <w:next w:val="Normal"/>
    <w:link w:val="Heading2Char"/>
    <w:uiPriority w:val="9"/>
    <w:unhideWhenUsed/>
    <w:qFormat/>
    <w:rsid w:val="00FC693F"/>
    <w:pPr>
      <w:keepNext/>
      <w:keepLines/>
      <w:spacing w:before="200" w:after="120"/>
      <w:outlineLvl w:val="1"/>
    </w:pPr>
    <w:rPr>
      <w:rFonts w:asciiTheme="majorHAnsi" w:eastAsiaTheme="majorEastAsia" w:hAnsiTheme="majorHAnsi" w:cstheme="majorBidi" w:ascii="黑体" w:hAnsi="黑体" w:eastAsia="黑体"/>
      <w:b/>
      <w:bCs/>
      <w:color w:val="17365D"/>
      <w:sz w:val="30"/>
      <w:szCs w:val="26"/>
    </w:rPr>
  </w:style>
  <w:style w:type="paragraph" w:styleId="Heading3">
    <w:name w:val="heading 3"/>
    <w:basedOn w:val="Normal"/>
    <w:next w:val="Normal"/>
    <w:link w:val="Heading3Char"/>
    <w:uiPriority w:val="9"/>
    <w:unhideWhenUsed/>
    <w:qFormat/>
    <w:rsid w:val="00FC693F"/>
    <w:pPr>
      <w:keepNext/>
      <w:keepLines/>
      <w:spacing w:before="200" w:after="120"/>
      <w:outlineLvl w:val="2"/>
    </w:pPr>
    <w:rPr>
      <w:rFonts w:asciiTheme="majorHAnsi" w:eastAsiaTheme="majorEastAsia" w:hAnsiTheme="majorHAnsi" w:cstheme="majorBidi" w:ascii="黑体" w:hAnsi="黑体" w:eastAsia="黑体"/>
      <w:b/>
      <w:bCs/>
      <w:color w:val="17365D"/>
      <w:sz w:val="26"/>
    </w:rPr>
  </w:style>
  <w:style w:type="paragraph" w:styleId="Heading4">
    <w:name w:val="heading 4"/>
    <w:basedOn w:val="Normal"/>
    <w:next w:val="Normal"/>
    <w:link w:val="Heading4Char"/>
    <w:uiPriority w:val="9"/>
    <w:semiHidden/>
    <w:unhideWhenUsed/>
    <w:qFormat/>
    <w:rsid w:val="00FC693F"/>
    <w:pPr>
      <w:keepNext/>
      <w:keepLines/>
      <w:spacing w:before="200" w:after="120"/>
      <w:outlineLvl w:val="3"/>
    </w:pPr>
    <w:rPr>
      <w:rFonts w:asciiTheme="majorHAnsi" w:eastAsiaTheme="majorEastAsia" w:hAnsiTheme="majorHAnsi" w:cstheme="majorBidi" w:ascii="黑体" w:hAnsi="黑体" w:eastAsia="黑体"/>
      <w:b/>
      <w:bCs/>
      <w:i/>
      <w:iCs/>
      <w:color w:val="17365D"/>
      <w:sz w:val="24"/>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最终评分与放行报告</dc:title>
  <dc:subject>楠木厅12号排除妨害纠纷专题材料</dc:subject>
  <dc:creator>案件代理工作组</dc:creator>
  <cp:keywords>排除妨害; 城市更新; 潮宗街; 房屋安全; 调解</cp:keywords>
  <dc:description>generated by python-docx</dc:description>
  <cp:lastModifiedBy/>
  <cp:revision>1</cp:revision>
  <dcterms:created xsi:type="dcterms:W3CDTF">2013-12-23T23:15:00Z</dcterms:created>
  <dcterms:modified xsi:type="dcterms:W3CDTF">2013-12-23T23:15:00Z</dcterms:modified>
  <cp:category/>
</cp:coreProperties>
</file>