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after="360"/>
        <w:jc w:val="center"/>
      </w:pPr>
      <w:r>
        <w:rPr>
          <w:rFonts w:ascii="方正小标宋简体" w:hAnsi="方正小标宋简体" w:eastAsia="方正小标宋简体"/>
          <w:b/>
          <w:color w:val="17365D"/>
          <w:sz w:val="48"/>
        </w:rPr>
        <w:t>旧版代理意见问题诊断报告</w:t>
      </w:r>
    </w:p>
    <w:p>
      <w:pPr>
        <w:jc w:val="center"/>
      </w:pPr>
      <w:r>
        <w:rPr>
          <w:rFonts w:ascii="宋体" w:hAnsi="宋体" w:eastAsia="宋体"/>
          <w:color w:val="5F6B78"/>
          <w:sz w:val="24"/>
        </w:rPr>
        <w:t>李运芳诉长沙科棚潮宗街商业管理有限公司排除妨害纠纷案</w:t>
      </w:r>
    </w:p>
    <w:p>
      <w:pPr>
        <w:spacing w:before="2800"/>
        <w:jc w:val="center"/>
      </w:pPr>
      <w:r>
        <w:rPr>
          <w:rFonts w:ascii="宋体" w:hAnsi="宋体" w:eastAsia="宋体"/>
          <w:color w:val="5F6B78"/>
          <w:sz w:val="22"/>
        </w:rPr>
        <w:t>原始材料与官方法源核验 · 2026年8月14日</w:t>
      </w:r>
    </w:p>
    <w:p>
      <w:r>
        <w:br w:type="page"/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诊断对象：项目中可检索的历次起诉状、代理意见、法官速读稿、证据目录、内部论证及压力测试材料 诊断基准：原始证据优先于历史AI分析；生效裁判优先于二手转述；正式法院文书与内部策略材料分开评价 诊断日期：2026年8月14日</w:t>
      </w:r>
    </w:p>
    <w:p>
      <w:pPr>
        <w:pStyle w:val="Heading1"/>
      </w:pPr>
      <w:r>
        <w:t>一、总评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旧版材料已经意识到科棚、开福棚改投、潘勇和纽带之间可能存在不同法律关系，也逐步把“恢复原状”拆解为垃圾、排水、通行和局部修复。但是，各版本在事实成熟度、证据编号、主体身份和安全等级时间线上并不一致；部分稿件把待核线索写成确定事实，把对方可能抗辩的口语化表述带入正式文书，并多次接近“政策支持治理路径即被告负有民事实施义务”的逻辑跳跃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最严重问题不是论证力度不足，而是若不先校正证据边界，强势表达会反向削弱可信度。新版必须实行“确定事实—条件事实—调查事项”三级写法。</w:t>
      </w:r>
    </w:p>
    <w:p>
      <w:pPr>
        <w:pStyle w:val="Heading1"/>
      </w:pPr>
      <w:r>
        <w:t>二、法律概念错误及混用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239"/>
        <w:gridCol w:w="2239"/>
        <w:gridCol w:w="2239"/>
        <w:gridCol w:w="2239"/>
      </w:tblGrid>
      <w:tr>
        <w:trPr>
          <w:tblHeader/>
        </w:trPr>
        <w:tc>
          <w:tcPr>
            <w:tcW w:type="dxa" w:w="2239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编号</w:t>
            </w:r>
          </w:p>
        </w:tc>
        <w:tc>
          <w:tcPr>
            <w:tcW w:type="dxa" w:w="2239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旧稿常见问题</w:t>
            </w:r>
          </w:p>
        </w:tc>
        <w:tc>
          <w:tcPr>
            <w:tcW w:type="dxa" w:w="2239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风险</w:t>
            </w:r>
          </w:p>
        </w:tc>
        <w:tc>
          <w:tcPr>
            <w:tcW w:type="dxa" w:w="2239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规范处理</w:t>
            </w:r>
          </w:p>
        </w:tc>
      </w:tr>
      <w:tr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将“科棚是不是告错的主体”作为正式标题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口语化且混淆主体适格与实体责任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使用“科棚与诉争法律关系存在直接事实关联，具有本案被告主体适格性”</w:t>
            </w:r>
          </w:p>
        </w:tc>
      </w:tr>
      <w:tr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以科棚可能承担部分责任推出其承担全部恢复义务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主体适格不等于每项请求成立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对入户、钻孔、垃圾、排水、围挡逐项审查行为、控制、义务和因果关系</w:t>
            </w:r>
          </w:p>
        </w:tc>
      </w:tr>
      <w:tr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3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以开福棚改投与科棚的关联或股权推定授权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独立法人、股权、委托三个概念混同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只有具体委托、授权、派工、追认等证据才能证明权限</w:t>
            </w:r>
          </w:p>
        </w:tc>
      </w:tr>
      <w:tr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4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以“有权鉴定”推出“应负责恢复整栋楼”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专项权限和长期管理义务混同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权限陈述只触发对权源、范围及相关职责的说明；直接损坏另依侵权规则判断</w:t>
            </w:r>
          </w:p>
        </w:tc>
      </w:tr>
      <w:tr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5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将物权请求权、侵权损害赔偿和工程治理义务合并叙述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请求权要件、举证责任和时效问题不同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排除现存妨害以物权保护为主；具体毁损修复兼具侵权责任；综合更新另行分层</w:t>
            </w:r>
          </w:p>
        </w:tc>
      </w:tr>
      <w:tr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6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把“恢复原状”“修理”“恢复安全使用功能”交替使用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责任方式和验收结果不清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判项写明点位、行为、期限、功能、验收；“恢复原状”仅作上位责任方式</w:t>
            </w:r>
          </w:p>
        </w:tc>
      </w:tr>
      <w:tr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7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把调解意愿或诉后协调表述为责任自认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违反调解陈述保护和自认规则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明确其不是责任自认，只在实际参与、协调能力范围评价</w:t>
            </w:r>
          </w:p>
        </w:tc>
      </w:tr>
      <w:tr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8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把危险房屋政策性治理要求直接归于科棚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政策义务主体未必为本案被告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先以民法及具体行为确定责任，再以政策解释可行路径</w:t>
            </w:r>
          </w:p>
        </w:tc>
      </w:tr>
      <w:tr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9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共有部分请求完全按原告个人专有权处理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可能遗漏其他共有权人共同诉讼或共同决策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区分必要通行保护与整体共有设施改造，核实登记并申请释明</w:t>
            </w:r>
          </w:p>
        </w:tc>
      </w:tr>
      <w:tr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10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把举证责任概括为“被告必须证明自己没责任”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违背谁主张谁举证及证明妨碍规则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原告完成权利、妨害和初步归责举证；被告对其积极主张的授权、委托提交证据</w:t>
            </w:r>
          </w:p>
        </w:tc>
      </w:tr>
    </w:tbl>
    <w:p>
      <w:pPr>
        <w:spacing w:after="20"/>
      </w:pPr>
    </w:p>
    <w:p>
      <w:pPr>
        <w:pStyle w:val="Heading1"/>
      </w:pPr>
      <w:r>
        <w:t>三、事实与证据错误体检</w:t>
      </w:r>
    </w:p>
    <w:p>
      <w:pPr>
        <w:pStyle w:val="Heading2"/>
      </w:pPr>
      <w:r>
        <w:t>（一）报警材料被过度使用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现存原始材料标题为《报警回执单》，日期为2026年4月27日，报警人记载为李燕。回执只证明报警登记，不记载4月19日入户、科棚人员身份、钻孔或者“有权鉴定”的原话。旧稿凡称“报警记录已经固定科棚自认有权鉴定”“接处警材料证明钻孔主体”的，均超出该证据内容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处理：申请调取110接处警单、报警录音、询问笔录、执法记录仪和现场身份核验；取得前只能写“据原告陈述，有待核实”。</w:t>
      </w:r>
    </w:p>
    <w:p>
      <w:pPr>
        <w:pStyle w:val="Heading2"/>
      </w:pPr>
      <w:r>
        <w:t>（二）照片证明范围被扩大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四张墙体照片可证明孔洞、剔凿、开槽和碎屑外观，围挡照片可证明拍摄时的画面状态；照片本身不证明地址、时间、原状态、行为人或当前仍存在。旧稿将照片直接用于证明科棚实施、排水被毁、围挡由科棚控制，证据链不完整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处理：补原始文件、设备和导出说明，制作点位图和尺寸记录，与鉴定点位、人员名单、公安材料、现场勘验相互印证。</w:t>
      </w:r>
    </w:p>
    <w:p>
      <w:pPr>
        <w:pStyle w:val="Heading2"/>
      </w:pPr>
      <w:r>
        <w:t>（三）权属证据存在材料污染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项目中名为“东301房不动产权证书”的图片标注“非官方文件／仅作示意”，不得作为证据。另有真实旧《房屋所有权证》照片和生效判决能够支持产权基础，但“东301”“303”“栗木巷002号002栋303”的同一性尚需登记机关材料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处理：隔离示意图，补真实权证完整页、最新登记簿和门牌沿革证明。</w:t>
      </w:r>
    </w:p>
    <w:p>
      <w:pPr>
        <w:pStyle w:val="Heading2"/>
      </w:pPr>
      <w:r>
        <w:t>（四）安全等级时间线被倒置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现有可靠顺序为：2022年同宇报告记载地基基础子单元Bu级、上部承重结构子单元Cu级、围护系统承重部分子单元Cu级，鉴定单元安全性等级Csu级，并建议专业加固；2023年开福棚改投组织加固；生效裁判转述湖南湘力报告称“现阶段主体结构安全性鉴定等级为B级”。完整2023报告未见。旧稿若写“此前B级、后来降为C级”，与现有时间线相反；若把2022年Csu级写成当前等级，也缺依据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处理：取得2023完整报告和任何2026新报告后，逐项比较对象、范围、标准和评级体系；在此之前不采用“恢复至不低于此前B级状态”作为判决标准。</w:t>
      </w:r>
    </w:p>
    <w:p>
      <w:pPr>
        <w:pStyle w:val="Heading2"/>
      </w:pPr>
      <w:r>
        <w:t>（五）诉后清垃圾证据尚未落卷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用户和原告明确说明科棚曾协调“城投”清理部分生活垃圾，但项目中未找到清运通知、群聊、派工、费用、前后影像或实施主体说明。旧稿如把该事实直接写成“科棚已自认管理权”，风险极高。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处理：以原告陈述加条件式论证写入V1；在正式提交前补原始电子数据，查明“城投”准确法人。即使补强，也仅证明实际介入和一定协调能力。</w:t>
      </w:r>
    </w:p>
    <w:p>
      <w:pPr>
        <w:pStyle w:val="Heading2"/>
      </w:pPr>
      <w:r>
        <w:t>（六）潘勇身份与授权被跨期推定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2025年《专项授权委托书》仅授权“科棚潘勇团队”处理交易谈判，期限至2025年10月31日。其不证明潘勇是科棚员工，不证明2026年科棚任务，也不包含管理、鉴定、入户和钻孔。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处理：补劳动、委托、派工、报销、成果交付或追认材料；分别识别潘勇代表纽带、科棚或个人的具体时点。</w:t>
      </w:r>
    </w:p>
    <w:p>
      <w:pPr>
        <w:pStyle w:val="Heading2"/>
      </w:pPr>
      <w:r>
        <w:t>（七）开福棚改投职责被扩大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生效判决确认的是2015年批复在撤销前可作为开福棚改投管理、改造楠木厅12号的依据，并称其承担具体改造义务。旧稿有把该认定扩大为“法院已经确认开福棚改投承担整栋楼全部安全、排水、垃圾和修复责任”的倾向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处理：严格引用判决原文；具体民事责任仍需审查行为、义务范围和因果关系。</w:t>
      </w:r>
    </w:p>
    <w:p>
      <w:pPr>
        <w:pStyle w:val="Heading2"/>
      </w:pPr>
      <w:r>
        <w:t>（八）科棚股权材料不足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现存科棚企业报告未包含完整股东页。旧稿把开福棚改投系科棚股东写成确定事实，证据不足；即使日后证明，也不能代替委托授权。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处理：调取最新企业登记内档、章程和股东变更记录；仅作关系背景，不作权限依据。</w:t>
      </w:r>
    </w:p>
    <w:p>
      <w:pPr>
        <w:pStyle w:val="Heading1"/>
      </w:pPr>
      <w:r>
        <w:t>四、城市更新政策使用问题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长政办发〔2026〕6号是B类政策文件，不是民法请求权条款。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“支持老旧住房自主更新、原拆原建”意味着政策允许和鼓励，并不意味着产权人可以直接要求科棚施工。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“一屋一策”与历史文化保护、专业论证和行政实施相连，法院可在自愿调解中要求有实际能力的主体形成具体方案，但一般不宜直接判科棚制定行政项目方案。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“鼓励成片收购存量房屋”是市场化产权整合路径，不是行政征收，更不是强制收购义务。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“老城不能再拆”及严禁借危房名义违法拆除，表明潮宗街原拆原建的门槛更高，不能省略业主决策、保护审查、规划许可和建设审批。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2026城市更新专项规划目前为征求意见稿，只能列为C类调查线索。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2026年8月公布的历史文化街区管理办法至9月10日施行；生效前不得作为现行规范使用。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公开采购资料未附楠木厅12号门牌清单，不能据此认定该楼已经纳入2026鉴定项目或更新项目。</w:t>
      </w:r>
    </w:p>
    <w:p>
      <w:pPr>
        <w:pStyle w:val="Heading1"/>
      </w:pPr>
      <w:r>
        <w:t>五、诉请及执行问题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旧稿“恢复原状”“恢复全部功能”“对楼栋进行有机更新”等请求存在对象不明、历史状态不明、责任主体缺位、工程方式唯一化、验收标准缺失等问题。新版应把每一请求写成七要素：责任主体、点位、现状、具体行为、完成期限、功能标准、验收方式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直接判决应优先限于：停止未经授权进入专有部分；修复可归责的具体孔洞；清除可归责的具体废料；修复明确管段；拆移无权或过度围挡、提供安全通道。整体加固、“一屋一策”、原拆原建、收购置换主要进入调解层。</w:t>
      </w:r>
    </w:p>
    <w:p>
      <w:pPr>
        <w:pStyle w:val="Heading1"/>
      </w:pPr>
      <w:r>
        <w:t>六、遗漏的不利事实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生效裁判首先指向开福棚改投的管理、改造依据，可能支持科棚“并非长期管理主体”的抗辩。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2022鉴定报告记载旧门窗大部分已拆、房屋存在长期历史问题，不利于把全部损坏归因于2026行为。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2023年加固后已有主体结构B级结论，不利于未经新报告即声称当前整栋C级或持续恶化。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原告作为房屋所有权人亦可能承担房屋安全责任；本案不能把行政安全责任全部外移。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围挡可能具有现实安全防护理由；适当处理未必是直接全部拆除。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共有排水、通道和整体加固可能涉及纽带及其他业主程序地位。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科棚即使有协调能力，也可能没有独立处分共有物、动用项目资金或申请规划审批的能力。</w:t>
      </w:r>
    </w:p>
    <w:p>
      <w:pPr>
        <w:pStyle w:val="Heading1"/>
      </w:pPr>
      <w:r>
        <w:t>七、结论与重写原则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旧稿可保留的核心是：科棚就被指控的直接行为属于适格被告；鉴定权限需要完整权源；科棚直接损坏不以长期管理身份为前提；持续妨害须具体化。必须删除或改写的是：口语化主体表述、报警记录过度证明、股权等同授权、鉴定等同治理责任、政策等同民事义务、B/C时间线倒置、抽象恢复和共有程序遗漏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最终正式文本只写证据能够支撑的强度；尚未补强的事实以“原告陈述”“若经证据核实”“有必要进一步查明”表达，并将补证动作具体化。</w:t>
      </w:r>
    </w:p>
    <w:sectPr w:rsidR="00FC693F" w:rsidRPr="0006063C" w:rsidSect="00034616">
      <w:footerReference w:type="default" r:id="rId9"/>
      <w:pgSz w:w="11906" w:h="16838"/>
      <w:pgMar w:top="1474" w:right="1417" w:bottom="1361" w:left="1531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color w:val="5F6B78"/>
        <w:sz w:val="17"/>
      </w:rPr>
      <w:t xml:space="preserve">楠木厅12号案 · 2026年8月核验版  |  </w:t>
    </w:r>
    <w:r>
      <w:rPr>
        <w:rFonts w:ascii="宋体" w:hAnsi="宋体" w:eastAsia="宋体"/>
        <w:color w:val="5F6B78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60" w:lineRule="auto" w:after="100"/>
    </w:pPr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 w:ascii="黑体" w:hAnsi="黑体" w:eastAsia="黑体"/>
      <w:b/>
      <w:bCs/>
      <w:i/>
      <w:iCs/>
      <w:color w:val="17365D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旧版代理意见问题诊断报告</dc:title>
  <dc:subject>楠木厅12号排除妨害纠纷专题材料</dc:subject>
  <dc:creator>案件代理工作组</dc:creator>
  <cp:keywords>排除妨害; 城市更新; 潮宗街; 房屋安全; 调解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