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jc w:val="center"/>
      </w:pPr>
      <w:r>
        <w:rPr>
          <w:rFonts w:ascii="方正小标宋简体" w:hAnsi="方正小标宋简体" w:eastAsia="方正小标宋简体"/>
          <w:b/>
          <w:color w:val="000000"/>
          <w:sz w:val="44"/>
        </w:rPr>
        <w:t>代理意见</w:t>
      </w:r>
    </w:p>
    <w:p>
      <w:pPr>
        <w:spacing w:line="360" w:lineRule="auto" w:after="100"/>
      </w:pPr>
      <w:r>
        <w:rPr>
          <w:rFonts w:ascii="宋体" w:hAnsi="宋体" w:eastAsia="宋体"/>
          <w:sz w:val="24"/>
        </w:rPr>
        <w:t>案由：排除妨害纠纷 原告：李运芳 被告：长沙科棚潮宗街商业管理有限公司 案号：以人民法院案卷记载为准</w:t>
      </w:r>
    </w:p>
    <w:p>
      <w:pPr>
        <w:spacing w:line="360" w:lineRule="auto" w:after="100"/>
      </w:pPr>
      <w:r>
        <w:rPr>
          <w:rFonts w:ascii="宋体" w:hAnsi="宋体" w:eastAsia="宋体"/>
          <w:sz w:val="24"/>
        </w:rPr>
        <w:t>审判长、审判员：</w:t>
      </w:r>
    </w:p>
    <w:p>
      <w:pPr>
        <w:spacing w:line="360" w:lineRule="auto" w:after="100"/>
        <w:ind w:firstLine="420"/>
      </w:pPr>
      <w:r>
        <w:rPr>
          <w:rFonts w:ascii="宋体" w:hAnsi="宋体" w:eastAsia="宋体"/>
          <w:sz w:val="24"/>
        </w:rPr>
        <w:t>受原告李运芳委托，现依据已经提交的证据、生效裁判、原告拟申请调取的材料及截至2026年8月现行法律政策，就本案发表代理意见。</w:t>
      </w:r>
    </w:p>
    <w:p>
      <w:pPr>
        <w:spacing w:line="360" w:lineRule="auto" w:after="100"/>
        <w:ind w:firstLine="420"/>
      </w:pPr>
      <w:r>
        <w:rPr>
          <w:rFonts w:ascii="宋体" w:hAnsi="宋体" w:eastAsia="宋体"/>
          <w:sz w:val="24"/>
        </w:rPr>
        <w:t>本案应当首先解决三个相互关联、但不能混同的问题：第一，科棚是否与原告主张的入户、侵入性检测及后续楼栋事务具有直接事实关联；第二，原告主张的钻孔损坏、废料、排水、围挡和通行妨害，分别由何主体造成、设置、控制或依法负有排除义务；第三，在房屋安全状态存在争议的情况下，裁判如何形成明确、适度且可以执行的排除、修复结果。长沙市2026年城市更新政策可以说明危险住房的现实治理路径，并为调查、调解提供制度背景，但不能替代民事责任的行为、过错、因果关系和义务来源。</w:t>
      </w:r>
    </w:p>
    <w:p>
      <w:pPr>
        <w:pStyle w:val="Heading1"/>
      </w:pPr>
      <w:r>
        <w:t>一、本案系基于物权保护产生的持续性排除妨害纠纷，审理重点不应停留于一次鉴定行为</w:t>
      </w:r>
    </w:p>
    <w:p>
      <w:pPr>
        <w:spacing w:line="360" w:lineRule="auto" w:after="100"/>
      </w:pPr>
      <w:r>
        <w:rPr>
          <w:rFonts w:ascii="宋体" w:hAnsi="宋体" w:eastAsia="宋体"/>
          <w:sz w:val="24"/>
        </w:rPr>
        <w:t>原告对涉案东301专有房屋及其依法享有权益的通行、排水等共有部分享有受法律保护的物权。《中华人民共和国民法典》第二百三十三条、第二百三十六条、第二百三十七条及第二百三十九条规定，物权受到侵害或者妨害的，权利人可以请求排除妨害、消除危险；造成不动产毁损的，可以请求修理、重作、更换或者恢复原状，上述保护方式可以单独或者合并适用。第一千一百六十五条、第一千一百六十七条同时规定了过错侵权责任，以及停止侵害、排除妨碍、消除危险等责任方式。</w:t>
      </w:r>
    </w:p>
    <w:p>
      <w:pPr>
        <w:spacing w:line="360" w:lineRule="auto" w:after="100"/>
        <w:ind w:firstLine="420"/>
      </w:pPr>
      <w:r>
        <w:rPr>
          <w:rFonts w:ascii="宋体" w:hAnsi="宋体" w:eastAsia="宋体"/>
          <w:sz w:val="24"/>
        </w:rPr>
        <w:t>本案现有请求包含两类法律效果：其一，制止未经同意、授权或者法定程序进入原告专有部分并实施钻孔、凿墙、取样等侵入性行为；其二，对目前仍存在、且能够证明与特定主体的行为、管理职责或实际控制具有联系的具体妨害，分别予以清除、修复或恢复相应功能。第二类问题不能因争议最初表现为“是否有权鉴定”而被遮蔽。</w:t>
      </w:r>
    </w:p>
    <w:p>
      <w:pPr>
        <w:spacing w:line="360" w:lineRule="auto" w:after="100"/>
      </w:pPr>
      <w:r>
        <w:rPr>
          <w:rFonts w:ascii="宋体" w:hAnsi="宋体" w:eastAsia="宋体"/>
          <w:sz w:val="24"/>
        </w:rPr>
        <w:t>原告并不请求人民法院决定潮宗街城市更新规划，也不请求把楠木厅12号全部历史失修概括归责于科棚。裁判范围应限定为证据能够证明的现实妨害、具体毁损及相应责任主体；整体更新、“一屋一策”、原拆原建或产权整合，则应与民事判项严格分层。</w:t>
      </w:r>
    </w:p>
    <w:p>
      <w:pPr>
        <w:pStyle w:val="Heading1"/>
      </w:pPr>
      <w:r>
        <w:t>二、原告依法享有涉案专有部分及相关共有部分的物权权益</w:t>
      </w:r>
    </w:p>
    <w:p>
      <w:pPr>
        <w:spacing w:line="360" w:lineRule="auto" w:after="100"/>
      </w:pPr>
      <w:r>
        <w:rPr>
          <w:rFonts w:ascii="宋体" w:hAnsi="宋体" w:eastAsia="宋体"/>
          <w:sz w:val="24"/>
        </w:rPr>
        <w:t>原告留存的真实旧《房屋所有权证》及（2023）湘8601行初1133号生效行政判决均能够证明其产权基础。该判决记载李运芳系楠木厅12号楼303房业主，并确认未被征收的房屋仍归李运芳所有。依照《民法典》第二百七十一条至第二百七十三条，业主对专有部分享有所有权，对专有部分以外的共有部分享有共有和共同管理的权利，且不得以放弃权利为由不履行相应义务。</w:t>
      </w:r>
    </w:p>
    <w:p>
      <w:pPr>
        <w:spacing w:line="360" w:lineRule="auto" w:after="100"/>
        <w:ind w:firstLine="420"/>
      </w:pPr>
      <w:r>
        <w:rPr>
          <w:rFonts w:ascii="宋体" w:hAnsi="宋体" w:eastAsia="宋体"/>
          <w:sz w:val="24"/>
        </w:rPr>
        <w:t>现有材料对房屋坐落同时使用“东301”“楠木厅12号楼303”“栗木巷002号002栋303”等表述。为消除门牌沿革争议，原告将补充最新不动产登记簿、真实权证完整页及门牌对应证明；任何标注“非官方文件、仅作示意”的图件均不作为权属证据。</w:t>
      </w:r>
    </w:p>
    <w:p>
      <w:pPr>
        <w:spacing w:line="360" w:lineRule="auto" w:after="100"/>
      </w:pPr>
      <w:r>
        <w:rPr>
          <w:rFonts w:ascii="宋体" w:hAnsi="宋体" w:eastAsia="宋体"/>
          <w:sz w:val="24"/>
        </w:rPr>
        <w:t>原告不否认：为维护建筑安全，有权主体依照法定权限和适当程序进入共有部位检查，可能具有正当性。但进入产权人的专有房屋并实施钻孔、凿墙、开槽、取样等改变物理状态的行为，干预程度明显更高，必须审查委托主体、授权范围、必要性、检测方案、通知程序和损坏修复安排。安全目的本身不能代替上述要件。</w:t>
      </w:r>
    </w:p>
    <w:p>
      <w:pPr>
        <w:pStyle w:val="Heading1"/>
      </w:pPr>
      <w:r>
        <w:t>三、科棚与诉争妨害行为及涉案楼栋事务存在直接事实关联，具有本案被告主体适格性</w:t>
      </w:r>
    </w:p>
    <w:p>
      <w:pPr>
        <w:spacing w:line="360" w:lineRule="auto" w:after="100"/>
      </w:pPr>
      <w:r>
        <w:rPr>
          <w:rFonts w:ascii="宋体" w:hAnsi="宋体" w:eastAsia="宋体"/>
          <w:sz w:val="24"/>
        </w:rPr>
        <w:t>被告主体适格与原告对其提出的每一项实体请求能否成立，属于两个层次。原告现主张科棚及与其相关的现场人员参与2026年4月涉案房屋鉴定、入户及侵入性检测，并请求科棚停止相关行为、修复其直接造成的具体损坏。就该被主张的直接行为及其法律后果而言，科棚与诉争法律关系具有直接关联，原告将其列为被告具有相应事实与法律依据。</w:t>
      </w:r>
    </w:p>
    <w:p>
      <w:pPr>
        <w:spacing w:line="360" w:lineRule="auto" w:after="100"/>
      </w:pPr>
      <w:r>
        <w:rPr>
          <w:rFonts w:ascii="宋体" w:hAnsi="宋体" w:eastAsia="宋体"/>
          <w:sz w:val="24"/>
        </w:rPr>
        <w:t>原告当前能够提交的材料包括：报警事实、墙体孔洞和剔凿外观照片、科棚主体登记材料，以及2025年纽带公司授权“科棚潘勇团队”从事交易谈判的材料。各证据的证明边界应当分别把握：</w:t>
      </w:r>
    </w:p>
    <w:p>
      <w:pPr>
        <w:pStyle w:val="ListNumber"/>
        <w:spacing w:line="360" w:lineRule="auto" w:after="100"/>
      </w:pPr>
      <w:r>
        <w:rPr>
          <w:rFonts w:ascii="宋体" w:hAnsi="宋体" w:eastAsia="宋体"/>
          <w:sz w:val="24"/>
        </w:rPr>
        <w:t>2026年4月27日《报警回执单》仅证明李燕当日报警及公安机关登记，不记载4月19日现场经过、具体人员身份、钻孔事实或者“有权鉴定”的陈述。相关事实应由完整110接处警单、询问笔录、执法记录仪和原始录音录像补强。</w:t>
      </w:r>
    </w:p>
    <w:p>
      <w:pPr>
        <w:pStyle w:val="ListNumber"/>
        <w:spacing w:line="360" w:lineRule="auto" w:after="100"/>
      </w:pPr>
      <w:r>
        <w:rPr>
          <w:rFonts w:ascii="宋体" w:hAnsi="宋体" w:eastAsia="宋体"/>
          <w:sz w:val="24"/>
        </w:rPr>
        <w:t>现场照片能够证明画面所示部位存在孔洞、剔凿、开槽及碎屑的物理外观，但单凭照片不能证明拍摄地点、形成时间、行为主体及因果关系，尚需与原始载体、鉴定点位记录、现场人员名单及勘验结果相互印证。</w:t>
      </w:r>
    </w:p>
    <w:p>
      <w:pPr>
        <w:pStyle w:val="ListNumber"/>
        <w:spacing w:line="360" w:lineRule="auto" w:after="100"/>
      </w:pPr>
      <w:r>
        <w:rPr>
          <w:rFonts w:ascii="宋体" w:hAnsi="宋体" w:eastAsia="宋体"/>
          <w:sz w:val="24"/>
        </w:rPr>
        <w:t>2025年《专项授权委托书》所载授权事项仅为特定“交易谈判工作”，期限至2025年10月31日。该材料能够反映潘勇、科棚团队曾参与相关房屋交易事务，却不能证明2026年房屋管理、鉴定、入户或者钻孔权限。</w:t>
      </w:r>
    </w:p>
    <w:p>
      <w:pPr>
        <w:pStyle w:val="ListNumber"/>
        <w:spacing w:line="360" w:lineRule="auto" w:after="100"/>
      </w:pPr>
      <w:r>
        <w:rPr>
          <w:rFonts w:ascii="宋体" w:hAnsi="宋体" w:eastAsia="宋体"/>
          <w:sz w:val="24"/>
        </w:rPr>
        <w:t>据原告陈述，科棚方面人员曾以其“有权进行危房鉴定”说明现场活动的正当性。该原话尚未由现存报警回执固定，应以公安材料、原始电子数据或被告当庭陈述核实；在核实以前，原告仅据此提出调查和举证要求，不把该陈述写成已经证明的授权事实。</w:t>
      </w:r>
    </w:p>
    <w:p>
      <w:pPr>
        <w:pStyle w:val="ListNumber"/>
        <w:spacing w:line="360" w:lineRule="auto" w:after="100"/>
      </w:pPr>
      <w:r>
        <w:rPr>
          <w:rFonts w:ascii="宋体" w:hAnsi="宋体" w:eastAsia="宋体"/>
          <w:sz w:val="24"/>
        </w:rPr>
        <w:t>据原告说明，本案起诉后科棚曾参与组织或者协调“城投”方面人员清理涉案楼栋部分生活垃圾。现有项目材料尚缺清运通知、工作群、派工、付款、前后影像及实施单位说明，该事实仍需补强。若经证据核实，它可以证明科棚实际介入楼栋现实事务并具有一定协调处置能力，但不能单独证明科棚系整栋楼法定管理主体、垃圾由科棚产生，或者其承担全部建筑垃圾、排水及围挡责任。</w:t>
      </w:r>
    </w:p>
    <w:p>
      <w:pPr>
        <w:spacing w:line="360" w:lineRule="auto" w:after="100"/>
        <w:ind w:firstLine="420"/>
      </w:pPr>
      <w:r>
        <w:rPr>
          <w:rFonts w:ascii="宋体" w:hAnsi="宋体" w:eastAsia="宋体"/>
          <w:sz w:val="24"/>
        </w:rPr>
        <w:t>上述证据和待核线索至少说明，科棚并非与诉争事实毫无关联的案外主体。至于停止进入、修复孔洞、清运废料、恢复排水、调整围挡等每一请求是否对科棚成立，仍须分别审查直接行为、授权、管理职责、实际控制和因果关系。</w:t>
      </w:r>
    </w:p>
    <w:p>
      <w:pPr>
        <w:pStyle w:val="Heading1"/>
      </w:pPr>
      <w:r>
        <w:t>四、被告如以危房鉴定权限作为现场行为依据，应就权限来源、范围及具体内容作出说明并提交相应证据</w:t>
      </w:r>
    </w:p>
    <w:p>
      <w:pPr>
        <w:spacing w:line="360" w:lineRule="auto" w:after="100"/>
      </w:pPr>
      <w:r>
        <w:rPr>
          <w:rFonts w:ascii="宋体" w:hAnsi="宋体" w:eastAsia="宋体"/>
          <w:sz w:val="24"/>
        </w:rPr>
        <w:t>原告请求人民法院围绕以下权限链审查：</w:t>
      </w:r>
    </w:p>
    <w:p>
      <w:pPr>
        <w:pStyle w:val="ListNumber"/>
        <w:spacing w:line="360" w:lineRule="auto" w:after="100"/>
      </w:pPr>
      <w:r>
        <w:rPr>
          <w:rFonts w:ascii="宋体" w:hAnsi="宋体" w:eastAsia="宋体"/>
          <w:sz w:val="24"/>
        </w:rPr>
        <w:t>2026年相关鉴定由谁决定、谁正式委托、谁签订合同、谁付款、谁接收成果；</w:t>
      </w:r>
    </w:p>
    <w:p>
      <w:pPr>
        <w:pStyle w:val="ListNumber"/>
        <w:spacing w:line="360" w:lineRule="auto" w:after="100"/>
      </w:pPr>
      <w:r>
        <w:rPr>
          <w:rFonts w:ascii="宋体" w:hAnsi="宋体" w:eastAsia="宋体"/>
          <w:sz w:val="24"/>
        </w:rPr>
        <w:t>鉴定机构、项目负责人和现场人员分别为何主体；</w:t>
      </w:r>
    </w:p>
    <w:p>
      <w:pPr>
        <w:pStyle w:val="ListNumber"/>
        <w:spacing w:line="360" w:lineRule="auto" w:after="100"/>
      </w:pPr>
      <w:r>
        <w:rPr>
          <w:rFonts w:ascii="宋体" w:hAnsi="宋体" w:eastAsia="宋体"/>
          <w:sz w:val="24"/>
        </w:rPr>
        <w:t>科棚基于何种合同、委托、项目关系或行政安排参与；</w:t>
      </w:r>
    </w:p>
    <w:p>
      <w:pPr>
        <w:pStyle w:val="ListNumber"/>
        <w:spacing w:line="360" w:lineRule="auto" w:after="100"/>
      </w:pPr>
      <w:r>
        <w:rPr>
          <w:rFonts w:ascii="宋体" w:hAnsi="宋体" w:eastAsia="宋体"/>
          <w:sz w:val="24"/>
        </w:rPr>
        <w:t>如权限源于开福棚改投、北城资产、房屋安全责任人或其他主体，书面授权的事项、人员、区域、期限为何；</w:t>
      </w:r>
    </w:p>
    <w:p>
      <w:pPr>
        <w:pStyle w:val="ListNumber"/>
        <w:spacing w:line="360" w:lineRule="auto" w:after="100"/>
      </w:pPr>
      <w:r>
        <w:rPr>
          <w:rFonts w:ascii="宋体" w:hAnsi="宋体" w:eastAsia="宋体"/>
          <w:sz w:val="24"/>
        </w:rPr>
        <w:t>授权是否仅限于联络、引导或共有区域检查，是否明确包括进入东301专有部分；</w:t>
      </w:r>
    </w:p>
    <w:p>
      <w:pPr>
        <w:pStyle w:val="ListNumber"/>
        <w:spacing w:line="360" w:lineRule="auto" w:after="100"/>
      </w:pPr>
      <w:r>
        <w:rPr>
          <w:rFonts w:ascii="宋体" w:hAnsi="宋体" w:eastAsia="宋体"/>
          <w:sz w:val="24"/>
        </w:rPr>
        <w:t>如包括进入专有部分，是否进一步包括钻孔、凿墙、开槽、取样等侵入性检测；</w:t>
      </w:r>
    </w:p>
    <w:p>
      <w:pPr>
        <w:pStyle w:val="ListNumber"/>
        <w:spacing w:line="360" w:lineRule="auto" w:after="100"/>
      </w:pPr>
      <w:r>
        <w:rPr>
          <w:rFonts w:ascii="宋体" w:hAnsi="宋体" w:eastAsia="宋体"/>
          <w:sz w:val="24"/>
        </w:rPr>
        <w:t>具体点位、数量、深度是否为鉴定所必需，是否履行通知、风险防护和事后修复义务；</w:t>
      </w:r>
    </w:p>
    <w:p>
      <w:pPr>
        <w:pStyle w:val="ListNumber"/>
        <w:spacing w:line="360" w:lineRule="auto" w:after="100"/>
      </w:pPr>
      <w:r>
        <w:rPr>
          <w:rFonts w:ascii="宋体" w:hAnsi="宋体" w:eastAsia="宋体"/>
          <w:sz w:val="24"/>
        </w:rPr>
        <w:t>是否存在再委托、转授权，及其是否取得必要同意或追认。</w:t>
      </w:r>
    </w:p>
    <w:p>
      <w:pPr>
        <w:spacing w:line="360" w:lineRule="auto" w:after="100"/>
        <w:ind w:firstLine="420"/>
      </w:pPr>
      <w:r>
        <w:rPr>
          <w:rFonts w:ascii="宋体" w:hAnsi="宋体" w:eastAsia="宋体"/>
          <w:sz w:val="24"/>
        </w:rPr>
        <w:t>依照《民法典》第一百六十五条、第一百六十九条，书面授权委托书应载明代理人、事项、权限和期限，转委托原则上还须取得被代理人同意或者追认。与鉴定权限有关的合同、授权、付款、派工和成果材料主要由被告、委托人及鉴定机构掌握；被告若以此抗辩其现场行为具有合法依据，应对该积极事实提交证据。原告不能自行取得的，请人民法院依法调查收集或责令持有人提出。</w:t>
      </w:r>
    </w:p>
    <w:p>
      <w:pPr>
        <w:spacing w:line="360" w:lineRule="auto" w:after="100"/>
        <w:ind w:firstLine="420"/>
      </w:pPr>
      <w:r>
        <w:rPr>
          <w:rFonts w:ascii="宋体" w:hAnsi="宋体" w:eastAsia="宋体"/>
          <w:sz w:val="24"/>
        </w:rPr>
        <w:t>该论证并非“有鉴定权限即承担全部治理责任”。专项鉴定授权不当然等于整栋楼长期管理职责，也不当然涵盖东301或侵入性操作。其法律意义在于：被告不能仅以抽象“安全鉴定”主张行为正当，而拒绝说明权源和边界；若其权限来源于楼栋管理、改造、安全管理或受托职责，法院还应查明该权限与相应职责的对应范围。</w:t>
      </w:r>
    </w:p>
    <w:p>
      <w:pPr>
        <w:pStyle w:val="Heading1"/>
      </w:pPr>
      <w:r>
        <w:t>五、开福棚改投的管理、改造依据已经生效裁判确认，但不能通过关联关系自动转化为科棚权限</w:t>
      </w:r>
    </w:p>
    <w:p>
      <w:pPr>
        <w:spacing w:line="360" w:lineRule="auto" w:after="100"/>
        <w:ind w:firstLine="420"/>
      </w:pPr>
      <w:r>
        <w:rPr>
          <w:rFonts w:ascii="宋体" w:hAnsi="宋体" w:eastAsia="宋体"/>
          <w:sz w:val="24"/>
        </w:rPr>
        <w:t>（2023）湘8601行初1133号和（2023）湘01行终922号生效行政判决均记载：2015年《关于同意开福区潮宗街街区地块棚改立项的批复》明确由长沙市开福棚改投资有限责任公司具体承担改造义务；在该批复未经法定程序撤销前，可以作为开福棚改投对楠木厅12号楼进行管理、改造的依据。</w:t>
      </w:r>
    </w:p>
    <w:p>
      <w:pPr>
        <w:spacing w:line="360" w:lineRule="auto" w:after="100"/>
        <w:ind w:firstLine="420"/>
      </w:pPr>
      <w:r>
        <w:rPr>
          <w:rFonts w:ascii="宋体" w:hAnsi="宋体" w:eastAsia="宋体"/>
          <w:sz w:val="24"/>
        </w:rPr>
        <w:t>上述裁判能够证明开福棚改投在涉案楼栋历史管理、改造中的特定地位，不能扩大解释为其对整栋楼全部历史损害承担当然民事责任；同样不能反向推定科棚已经取得其授权。即使开福棚改投与科棚存在出资、股权或项目合作关系，两公司仍为独立法人。股权关系不等于委托，项目合作不等于进入专有部分的授权，管理职责也不等于任何侵入性操作均合法。</w:t>
      </w:r>
    </w:p>
    <w:p>
      <w:pPr>
        <w:spacing w:line="360" w:lineRule="auto" w:after="100"/>
        <w:ind w:firstLine="420"/>
      </w:pPr>
      <w:r>
        <w:rPr>
          <w:rFonts w:ascii="宋体" w:hAnsi="宋体" w:eastAsia="宋体"/>
          <w:sz w:val="24"/>
        </w:rPr>
        <w:t>若科棚称其系受开福棚改投委托参加鉴定或楼栋事务，应提交对应合同、授权、项目文件、派工、付款和成果接收材料；若不存在委托，则其现场行为不能取得该项权源；若存在委托，还须继续审查范围是否包括东301和钻孔。开福棚改投的既有职责与科棚自身行为可能产生的责任，应当分别认定。</w:t>
      </w:r>
    </w:p>
    <w:p>
      <w:pPr>
        <w:pStyle w:val="Heading1"/>
      </w:pPr>
      <w:r>
        <w:t>六、即使存在专项鉴定权限，也不当然涵盖进入原告专有部分及实施侵入性操作</w:t>
      </w:r>
    </w:p>
    <w:p>
      <w:pPr>
        <w:spacing w:line="360" w:lineRule="auto" w:after="100"/>
        <w:ind w:firstLine="420"/>
      </w:pPr>
      <w:r>
        <w:rPr>
          <w:rFonts w:ascii="宋体" w:hAnsi="宋体" w:eastAsia="宋体"/>
          <w:sz w:val="24"/>
        </w:rPr>
        <w:t>房屋安全鉴定属于专业活动。鉴定目的的正当性、委托人的适格性，并不能当然推出任何现场方式均属必要。对进入专有部分、钻孔、凿墙、取样等行为，应当依次审查：是否确有必要进入；是否提前通知产权人并说明依据；检测点位是否必须位于东301；是否采用损害最小的方式；是否由具备资格的人员操作；是否形成原始记录；是否采取临时防护；是否在完成后安全修复。</w:t>
      </w:r>
    </w:p>
    <w:p>
      <w:pPr>
        <w:spacing w:line="360" w:lineRule="auto" w:after="100"/>
        <w:ind w:firstLine="420"/>
      </w:pPr>
      <w:r>
        <w:rPr>
          <w:rFonts w:ascii="宋体" w:hAnsi="宋体" w:eastAsia="宋体"/>
          <w:sz w:val="24"/>
        </w:rPr>
        <w:t>若被告只能证明“获准协助鉴定”，不能证明上述具体权限，仍不足以正当化对专有物的物理改变。若检测由鉴定机构独立决定并实施，也需进一步查明科棚是委托人、组织者、协助者还是仅在场人员，不能以先后在场即推定共同责任。</w:t>
      </w:r>
    </w:p>
    <w:p>
      <w:pPr>
        <w:pStyle w:val="Heading1"/>
      </w:pPr>
      <w:r>
        <w:t>七、科棚对其自身或执行其工作任务人员造成的具体妨害，应依法承担对应修复责任</w:t>
      </w:r>
    </w:p>
    <w:p>
      <w:pPr>
        <w:spacing w:line="360" w:lineRule="auto" w:after="100"/>
        <w:ind w:firstLine="420"/>
      </w:pPr>
      <w:r>
        <w:rPr>
          <w:rFonts w:ascii="宋体" w:hAnsi="宋体" w:eastAsia="宋体"/>
          <w:sz w:val="24"/>
        </w:rPr>
        <w:t>科棚是否为长期管理主体，与其是否应对自身直接行为负责，法律基础不同。如公安记录、原始电子数据、鉴定机构资料、派工材料或被告陈述能够证明科棚及执行其工作任务的人员组织、指示或实际实施入户、钻孔、剔凿、拆卸、封堵或遗留检测废料，则不以科棚具有整栋楼长期管理身份为责任前提。</w:t>
      </w:r>
    </w:p>
    <w:p>
      <w:pPr>
        <w:spacing w:line="360" w:lineRule="auto" w:after="100"/>
        <w:ind w:firstLine="420"/>
      </w:pPr>
      <w:r>
        <w:rPr>
          <w:rFonts w:ascii="宋体" w:hAnsi="宋体" w:eastAsia="宋体"/>
          <w:sz w:val="24"/>
        </w:rPr>
        <w:t>《民法典》第一千一百九十一条规定，用人单位工作人员因执行工作任务造成他人损害的，由用人单位承担侵权责任。适用该条仍应查明行为人身份、任务来源、对外名义、工作指令、报酬报销、成果交付和事后追认。只有能够证明两个以上主体共同实施、教唆或者帮助侵权时，方可依第一千一百六十八条、第一千一百六十九条讨论共同责任；股权、一般合作或同时在场本身均不足以成立连带责任。</w:t>
      </w:r>
    </w:p>
    <w:p>
      <w:pPr>
        <w:spacing w:line="360" w:lineRule="auto" w:after="100"/>
        <w:ind w:firstLine="420"/>
      </w:pPr>
      <w:r>
        <w:rPr>
          <w:rFonts w:ascii="宋体" w:hAnsi="宋体" w:eastAsia="宋体"/>
          <w:sz w:val="24"/>
        </w:rPr>
        <w:t>具体修复判项应建立“原状态—变化时间—行为主体—因果关系—修复方式—验收标准”的证据闭环。现有墙体照片尚不足以独立完成该闭环，故原告申请调取公安材料、鉴定委托和点位记录，并申请法院对争议点位现场勘验。</w:t>
      </w:r>
    </w:p>
    <w:p>
      <w:pPr>
        <w:pStyle w:val="Heading1"/>
      </w:pPr>
      <w:r>
        <w:t>八、科棚诉后协调生活垃圾清运的证明作用应当限定于其实际证明范围</w:t>
      </w:r>
    </w:p>
    <w:p>
      <w:pPr>
        <w:spacing w:line="360" w:lineRule="auto" w:after="100"/>
        <w:ind w:firstLine="420"/>
      </w:pPr>
      <w:r>
        <w:rPr>
          <w:rFonts w:ascii="宋体" w:hAnsi="宋体" w:eastAsia="宋体"/>
          <w:sz w:val="24"/>
        </w:rPr>
        <w:t>如原告补充提交的原始电子数据、清运前后影像、实施主体说明等能够证明科棚在本案起诉后确曾发起、组织或协调“城投”人员清理部分生活垃圾，该事实具有下列不同强度的证明价值：</w:t>
      </w:r>
    </w:p>
    <w:p>
      <w:pPr>
        <w:spacing w:line="360" w:lineRule="auto" w:after="100"/>
        <w:ind w:firstLine="420"/>
      </w:pPr>
      <w:r>
        <w:rPr>
          <w:rFonts w:ascii="宋体" w:hAnsi="宋体" w:eastAsia="宋体"/>
          <w:sz w:val="24"/>
        </w:rPr>
        <w:t>第一，对科棚实际介入涉案楼栋现实事务及具有一定协调能力，证明价值较高；第二，对科棚与本案诉争事实并非毫无关系，具有补强作用；第三，对科棚系法定管理主体、生活垃圾产生者，证明价值较低；第四，对科棚承担全部建筑垃圾、排水、围挡及历史修复义务，不具有直接证明力。</w:t>
      </w:r>
    </w:p>
    <w:p>
      <w:pPr>
        <w:spacing w:line="360" w:lineRule="auto" w:after="100"/>
        <w:ind w:firstLine="420"/>
      </w:pPr>
      <w:r>
        <w:rPr>
          <w:rFonts w:ascii="宋体" w:hAnsi="宋体" w:eastAsia="宋体"/>
          <w:sz w:val="24"/>
        </w:rPr>
        <w:t>还应查明“城投”的准确法人名称、科棚联系人、联系依据、清运决定、清理区域、费用承担和验收主体。上述材料既能划定已经履行的生活垃圾范围，避免重复请求，也能说明为何生活垃圾能够处理而建筑废料、排水、围挡等现存问题仍未形成责任清单和治理安排。</w:t>
      </w:r>
    </w:p>
    <w:p>
      <w:pPr>
        <w:spacing w:line="360" w:lineRule="auto" w:after="100"/>
        <w:ind w:firstLine="420"/>
      </w:pPr>
      <w:r>
        <w:rPr>
          <w:rFonts w:ascii="宋体" w:hAnsi="宋体" w:eastAsia="宋体"/>
          <w:sz w:val="24"/>
        </w:rPr>
        <w:t>诉后清理或协调行为不当然构成自认。任何调解意愿亦不得表述为责任承认。其证明力应与其他证据综合判断。</w:t>
      </w:r>
    </w:p>
    <w:p>
      <w:pPr>
        <w:pStyle w:val="Heading1"/>
      </w:pPr>
      <w:r>
        <w:t>九、建筑垃圾、排水、围挡等持续妨害应分别依据行为、管理职责、实际控制和因果关系确定责任</w:t>
      </w:r>
    </w:p>
    <w:p>
      <w:pPr>
        <w:pStyle w:val="Heading2"/>
      </w:pPr>
      <w:r>
        <w:t>（一）建筑垃圾和施工残留</w:t>
      </w:r>
    </w:p>
    <w:p>
      <w:pPr>
        <w:spacing w:line="360" w:lineRule="auto" w:after="100"/>
        <w:ind w:firstLine="420"/>
      </w:pPr>
      <w:r>
        <w:rPr>
          <w:rFonts w:ascii="宋体" w:hAnsi="宋体" w:eastAsia="宋体"/>
          <w:sz w:val="24"/>
        </w:rPr>
        <w:t>生活垃圾、建筑垃圾、既往拆除废料、2023年加固施工残留及2026年检测废料的来源不同。对已经清除的生活垃圾不应重复请求；对仍存废料，应制作点位图、种类和数量清单，结合形成时间、工程记录、区域控制及清运能力确定责任。只有查明某批废料由科棚行为形成，或科棚对该明确区域负有管理、控制及清除义务，方可针对科棚作出给付判项。</w:t>
      </w:r>
    </w:p>
    <w:p>
      <w:pPr>
        <w:pStyle w:val="Heading2"/>
      </w:pPr>
      <w:r>
        <w:t>（二）排水功能</w:t>
      </w:r>
    </w:p>
    <w:p>
      <w:pPr>
        <w:spacing w:line="360" w:lineRule="auto" w:after="100"/>
        <w:ind w:firstLine="420"/>
      </w:pPr>
      <w:r>
        <w:rPr>
          <w:rFonts w:ascii="宋体" w:hAnsi="宋体" w:eastAsia="宋体"/>
          <w:sz w:val="24"/>
        </w:rPr>
        <w:t>排水请求应以“恢复具体管段正常、稳定、安全排水功能”为结果标准，并通过管线图、堵点或破损点、通水试验、施工痕迹和形成时间证明因果关系。当前材料尚未形成科棚行为与排水异常之间的完整证据链，本项应先行勘验、检测并查明责任主体，不宜从“现有排水困难”直接推定科棚责任。</w:t>
      </w:r>
    </w:p>
    <w:p>
      <w:pPr>
        <w:pStyle w:val="Heading2"/>
      </w:pPr>
      <w:r>
        <w:t>（三）围挡及正常通行</w:t>
      </w:r>
    </w:p>
    <w:p>
      <w:pPr>
        <w:spacing w:line="360" w:lineRule="auto" w:after="100"/>
        <w:ind w:firstLine="420"/>
      </w:pPr>
      <w:r>
        <w:rPr>
          <w:rFonts w:ascii="宋体" w:hAnsi="宋体" w:eastAsia="宋体"/>
          <w:sz w:val="24"/>
        </w:rPr>
        <w:t>围挡照片能够反映画面所示时点存在绿色施工围挡，但不能单独证明目前状态、设置主体和控制主体。如围挡目前仍影响原告进出，应查明设置依据、现实风险、范围、期限、维护主体及替代通道。若属于无权主体设置或者已经超出必要范围，应明确拆移区段、期限和合理通行净宽；若为有权主体基于现实安全风险设置，则应遵守比例原则，并提供与风险相适应的安全通行安排，不能将临时防护异化为无限期剥夺产权人使用条件。</w:t>
      </w:r>
    </w:p>
    <w:p>
      <w:pPr>
        <w:pStyle w:val="Heading2"/>
      </w:pPr>
      <w:r>
        <w:t>（四）其他设施</w:t>
      </w:r>
    </w:p>
    <w:p>
      <w:pPr>
        <w:spacing w:line="360" w:lineRule="auto" w:after="100"/>
        <w:ind w:firstLine="420"/>
      </w:pPr>
      <w:r>
        <w:rPr>
          <w:rFonts w:ascii="宋体" w:hAnsi="宋体" w:eastAsia="宋体"/>
          <w:sz w:val="24"/>
        </w:rPr>
        <w:t>门窗、照明、楼道及其他构件存在自然老化、历史征收活动、既往加固及其他主体行为等多重可能原因。任何修复请求均应逐项证明原状态、变化时间、行为人和合理修复方式，不应概括归责。对一楼铁门等可能属于共有部分的设施，应先查明权属、设置依据、消防和结构安全影响，不主张其当然归原告个人处分。</w:t>
      </w:r>
    </w:p>
    <w:p>
      <w:pPr>
        <w:pStyle w:val="Heading1"/>
      </w:pPr>
      <w:r>
        <w:t>十、房屋安全鉴定并非治理终点，合法鉴定发现风险后应进一步说明治理安排</w:t>
      </w:r>
    </w:p>
    <w:p>
      <w:pPr>
        <w:spacing w:line="360" w:lineRule="auto" w:after="100"/>
        <w:ind w:firstLine="420"/>
      </w:pPr>
      <w:r>
        <w:rPr>
          <w:rFonts w:ascii="宋体" w:hAnsi="宋体" w:eastAsia="宋体"/>
          <w:sz w:val="24"/>
        </w:rPr>
        <w:t>现有材料显示：2022年湖南同宇出具JD-2022-0200报告，鉴定对象为“潮宗街片区新编227号楼”，委托人为开福棚改投，依据GB 50292—2015等标准，整体结论为C/Csu，并建议由有资质单位进行加固设计和施工。生效行政裁判进一步记载，开福棚改投随后组织加固；2023年湖南湘力报告结论为“该工程现阶段主体结构安全性鉴定等级为B级”。</w:t>
      </w:r>
    </w:p>
    <w:p>
      <w:pPr>
        <w:spacing w:line="360" w:lineRule="auto" w:after="100"/>
        <w:ind w:firstLine="420"/>
      </w:pPr>
      <w:r>
        <w:rPr>
          <w:rFonts w:ascii="宋体" w:hAnsi="宋体" w:eastAsia="宋体"/>
          <w:sz w:val="24"/>
        </w:rPr>
        <w:t>因此，现有材料不能支持“房屋原为B/Bsu、后降为C/Csu”的叙述。完整2023年报告尚未在项目中发现，其鉴定对象、范围、标准和评级体系尚不能与2022年C/Csu报告逐项比较。除非另有合法有效的新报告，不宜把2022年的C/Csu表述为2026年的当前等级，也不宜直接将“不低于B/Bsu”写成裁判标准。</w:t>
      </w:r>
    </w:p>
    <w:p>
      <w:pPr>
        <w:spacing w:line="360" w:lineRule="auto" w:after="100"/>
        <w:ind w:firstLine="420"/>
      </w:pPr>
      <w:r>
        <w:rPr>
          <w:rFonts w:ascii="宋体" w:hAnsi="宋体" w:eastAsia="宋体"/>
          <w:sz w:val="24"/>
        </w:rPr>
        <w:t>即使新的合法鉴定结论为C或Csu，也不意味着房屋只能围挡、不能修缮或必须拆除。《长沙市房屋安全管理条例》第二十五条要求危险房屋安全责任人及时治理并采取防护措施；《城市危险房屋管理规定》第十六条、第十七条规定房屋所有人应及时解危并按照鉴定机构处理建议进行加固或修缮。长政办发〔2023〕21号还将维修加固和拆除重建列为不同治理路径，并对历史文化街区内房屋强调保护要求。</w:t>
      </w:r>
    </w:p>
    <w:p>
      <w:pPr>
        <w:spacing w:line="360" w:lineRule="auto" w:after="100"/>
        <w:ind w:firstLine="420"/>
      </w:pPr>
      <w:r>
        <w:rPr>
          <w:rFonts w:ascii="宋体" w:hAnsi="宋体" w:eastAsia="宋体"/>
          <w:sz w:val="24"/>
        </w:rPr>
        <w:t>鉴定的功能在于识别风险和选择后续措施。围挡、警示和限制使用可能是必要的临时防护，但不当然构成永久治理结果。既然有关主体以房屋安全为由组织多次鉴定，法院有必要查明：当前有效安全结论为何；2023年加固效果如何；2026年是否再次鉴定；发现问题后由谁制定修缮、加固、排水、通行、消防和复核安排；是否明确资金、期限及责任主体。</w:t>
      </w:r>
    </w:p>
    <w:p>
      <w:pPr>
        <w:pStyle w:val="Heading1"/>
      </w:pPr>
      <w:r>
        <w:t>十一、长沙2026年城市更新政策构成现实治理背景，但不直接创设对科棚的民事请求权</w:t>
      </w:r>
    </w:p>
    <w:p>
      <w:pPr>
        <w:spacing w:line="360" w:lineRule="auto" w:after="100"/>
        <w:ind w:firstLine="420"/>
      </w:pPr>
      <w:r>
        <w:rPr>
          <w:rFonts w:ascii="宋体" w:hAnsi="宋体" w:eastAsia="宋体"/>
          <w:sz w:val="24"/>
        </w:rPr>
        <w:t>《长沙市全面推进城市更新行动方案（2026—2030年）》（长政办发〔2026〕6号，2026年3月26日印发，2026年5月1日起施行，有效至2030年12月31日）属于城市更新政策文件。其与本案相关的原文包括：</w:t>
      </w:r>
    </w:p>
    <w:p>
      <w:pPr>
        <w:pStyle w:val="ListNumber"/>
        <w:spacing w:line="360" w:lineRule="auto" w:after="100"/>
      </w:pPr>
      <w:r>
        <w:rPr>
          <w:rFonts w:ascii="宋体" w:hAnsi="宋体" w:eastAsia="宋体"/>
          <w:sz w:val="24"/>
        </w:rPr>
        <w:t>“优先将隐患突出、诉求强烈、条件成熟的集中连片区域划定为城市更新重点片区。鼓励成片收购存量房屋进行片区更新。坚持市场化运作方式和运营前置。”</w:t>
      </w:r>
    </w:p>
    <w:p>
      <w:pPr>
        <w:pStyle w:val="ListNumber"/>
        <w:spacing w:line="360" w:lineRule="auto" w:after="100"/>
      </w:pPr>
      <w:r>
        <w:rPr>
          <w:rFonts w:ascii="宋体" w:hAnsi="宋体" w:eastAsia="宋体"/>
          <w:sz w:val="24"/>
        </w:rPr>
        <w:t>“健全房屋体检与安全防控体系，稳妥推进危险住房和国有企业事业单位非成套住房改造。支持老旧住房自主更新、原拆原建。”</w:t>
      </w:r>
    </w:p>
    <w:p>
      <w:pPr>
        <w:pStyle w:val="ListNumber"/>
        <w:spacing w:line="360" w:lineRule="auto" w:after="100"/>
      </w:pPr>
      <w:r>
        <w:rPr>
          <w:rFonts w:ascii="宋体" w:hAnsi="宋体" w:eastAsia="宋体"/>
          <w:sz w:val="24"/>
        </w:rPr>
        <w:t>“持续推进太平街、西文庙坪、潮宗街等历史文化街区……保护修缮与活化利用。”</w:t>
      </w:r>
    </w:p>
    <w:p>
      <w:pPr>
        <w:pStyle w:val="ListNumber"/>
        <w:spacing w:line="360" w:lineRule="auto" w:after="100"/>
      </w:pPr>
      <w:r>
        <w:rPr>
          <w:rFonts w:ascii="宋体" w:hAnsi="宋体" w:eastAsia="宋体"/>
          <w:sz w:val="24"/>
        </w:rPr>
        <w:t>“落实‘老城不能再拆’要求……除依法依规实行‘一屋一策’改造维护和使用外，严禁以危险住房名义违法违规拆除改造历史文化街区、传统村落、文物、历史建筑等。”</w:t>
      </w:r>
    </w:p>
    <w:p>
      <w:pPr>
        <w:spacing w:line="360" w:lineRule="auto" w:after="100"/>
        <w:ind w:firstLine="420"/>
      </w:pPr>
      <w:r>
        <w:rPr>
          <w:rFonts w:ascii="宋体" w:hAnsi="宋体" w:eastAsia="宋体"/>
          <w:sz w:val="24"/>
        </w:rPr>
        <w:t>该方案还将城市体检结果作为更新依据，提出问题闭环处置，并建立“专项规划—片区策划—项目实施方案”工作体系，由更新实施主体编制项目实施方案、按程序批准实施，强调“政府引导、市场运作、公众参与”。</w:t>
      </w:r>
    </w:p>
    <w:p>
      <w:pPr>
        <w:spacing w:line="360" w:lineRule="auto" w:after="100"/>
        <w:ind w:firstLine="420"/>
      </w:pPr>
      <w:r>
        <w:rPr>
          <w:rFonts w:ascii="宋体" w:hAnsi="宋体" w:eastAsia="宋体"/>
          <w:sz w:val="24"/>
        </w:rPr>
        <w:t>上述政策的法律意义应严格限定：它能够说明危险住房存在修缮、加固、自主更新、依法原拆原建、市场化产权整合等现实路径；能够说明潮宗街治理同时受历史文化保护约束；能够为查明房屋体检、问题清单、项目入库、“一屋一策”和责任主体提供依据；能够为法院调解设计多层解决方案。它不能直接证明科棚实施了妨害行为，不能将开福棚改投职责转移给科棚，更不能产生原告要求科棚必须原拆原建、收购房屋或实施城市更新项目的当然民事请求权。</w:t>
      </w:r>
    </w:p>
    <w:p>
      <w:pPr>
        <w:spacing w:line="360" w:lineRule="auto" w:after="100"/>
        <w:ind w:firstLine="420"/>
      </w:pPr>
      <w:r>
        <w:rPr>
          <w:rFonts w:ascii="宋体" w:hAnsi="宋体" w:eastAsia="宋体"/>
          <w:sz w:val="24"/>
        </w:rPr>
        <w:t>截至本意见形成时，公开材料未能确认楠木厅12号已进入2026—2030城市更新项目库，也未检出针对该楼的现行“一屋一策”或项目实施方案。潮宗街片区2026年结构安全鉴定采购公开文件未附具体门牌清单，不能据此认定楠木厅12号已经纳入。上述事项均有必要通过政府信息公开、法院调查或责令相关主体提交材料进一步查明。</w:t>
      </w:r>
    </w:p>
    <w:p>
      <w:pPr>
        <w:spacing w:line="360" w:lineRule="auto" w:after="100"/>
        <w:ind w:firstLine="420"/>
      </w:pPr>
      <w:r>
        <w:rPr>
          <w:rFonts w:ascii="宋体" w:hAnsi="宋体" w:eastAsia="宋体"/>
          <w:sz w:val="24"/>
        </w:rPr>
        <w:t>另，2026年8月3日公布的《长沙市历史文化街区保护管理办法》将于2026年9月10日起施行。开庭或裁判时如尚未生效，只能作为未来治理背景，不能作为当前民事责任的直接规范依据。</w:t>
      </w:r>
    </w:p>
    <w:p>
      <w:pPr>
        <w:pStyle w:val="Heading1"/>
      </w:pPr>
      <w:r>
        <w:t>十二、楠木厅12号长期未进入明确治理程序的原因及科棚、开福棚改投的真实项目角色有必要查明</w:t>
      </w:r>
    </w:p>
    <w:p>
      <w:pPr>
        <w:spacing w:line="360" w:lineRule="auto" w:after="100"/>
        <w:ind w:firstLine="420"/>
      </w:pPr>
      <w:r>
        <w:rPr>
          <w:rFonts w:ascii="宋体" w:hAnsi="宋体" w:eastAsia="宋体"/>
          <w:sz w:val="24"/>
        </w:rPr>
        <w:t>2022年鉴定报告附件所涉整治材料已提出危险房屋“一房一策”，明确责任人、整治方式、资金和时限；2026年行动方案又把危险住房治理、问题闭环和历史街区“一屋一策”纳入当前框架。由此产生的正当调查问题是：楠木厅12号是否纳入城市体检问题清单、危旧房治理清单或潮宗街更新项目；是否形成针对结构、排水、通行、消防和使用功能的具体方案；若未形成，原因是项目范围、产权整合、征收终止、资金、审批还是其他事项；若已形成，由谁负责、何时实施。</w:t>
      </w:r>
    </w:p>
    <w:p>
      <w:pPr>
        <w:spacing w:line="360" w:lineRule="auto" w:after="100"/>
        <w:ind w:firstLine="420"/>
      </w:pPr>
      <w:r>
        <w:rPr>
          <w:rFonts w:ascii="宋体" w:hAnsi="宋体" w:eastAsia="宋体"/>
          <w:sz w:val="24"/>
        </w:rPr>
        <w:t>本案材料反映楠木厅12号经历过棚改立项、部分征收或收购、未征收产权留存、房屋鉴定和加固。征收、收购或项目推进未完成，并不当然使任何具体行为主体免于排除其自身造成的民事妨害；但相关政策也不能单独推出某一公司负有整栋楼全面治理义务。人民法院应通过生效裁判、项目合同、授权文件和实际履行材料，分别查明：</w:t>
      </w:r>
    </w:p>
    <w:p>
      <w:pPr>
        <w:pStyle w:val="ListNumber"/>
        <w:spacing w:line="360" w:lineRule="auto" w:after="100"/>
      </w:pPr>
      <w:r>
        <w:rPr>
          <w:rFonts w:ascii="宋体" w:hAnsi="宋体" w:eastAsia="宋体"/>
          <w:sz w:val="24"/>
        </w:rPr>
        <w:t>开福棚改投现阶段管理、改造和安全治理职责的具体范围；</w:t>
      </w:r>
    </w:p>
    <w:p>
      <w:pPr>
        <w:pStyle w:val="ListNumber"/>
        <w:spacing w:line="360" w:lineRule="auto" w:after="100"/>
      </w:pPr>
      <w:r>
        <w:rPr>
          <w:rFonts w:ascii="宋体" w:hAnsi="宋体" w:eastAsia="宋体"/>
          <w:sz w:val="24"/>
        </w:rPr>
        <w:t>科棚是否受托从事运营、鉴定组织、楼栋协调或其他事务，权限为何；</w:t>
      </w:r>
    </w:p>
    <w:p>
      <w:pPr>
        <w:pStyle w:val="ListNumber"/>
        <w:spacing w:line="360" w:lineRule="auto" w:after="100"/>
      </w:pPr>
      <w:r>
        <w:rPr>
          <w:rFonts w:ascii="宋体" w:hAnsi="宋体" w:eastAsia="宋体"/>
          <w:sz w:val="24"/>
        </w:rPr>
        <w:t>“城投”清运主体的准确法人及与科棚、开福棚改投的关系；</w:t>
      </w:r>
    </w:p>
    <w:p>
      <w:pPr>
        <w:pStyle w:val="ListNumber"/>
        <w:spacing w:line="360" w:lineRule="auto" w:after="100"/>
      </w:pPr>
      <w:r>
        <w:rPr>
          <w:rFonts w:ascii="宋体" w:hAnsi="宋体" w:eastAsia="宋体"/>
          <w:sz w:val="24"/>
        </w:rPr>
        <w:t>鉴定委托人、付款人、成果接收人和后续治理责任人；</w:t>
      </w:r>
    </w:p>
    <w:p>
      <w:pPr>
        <w:pStyle w:val="ListNumber"/>
        <w:spacing w:line="360" w:lineRule="auto" w:after="100"/>
      </w:pPr>
      <w:r>
        <w:rPr>
          <w:rFonts w:ascii="宋体" w:hAnsi="宋体" w:eastAsia="宋体"/>
          <w:sz w:val="24"/>
        </w:rPr>
        <w:t>楠木厅12号未进入可见治理实施阶段的文件依据。</w:t>
      </w:r>
    </w:p>
    <w:p>
      <w:pPr>
        <w:spacing w:line="360" w:lineRule="auto" w:after="100"/>
        <w:ind w:firstLine="420"/>
      </w:pPr>
      <w:r>
        <w:rPr>
          <w:rFonts w:ascii="宋体" w:hAnsi="宋体" w:eastAsia="宋体"/>
          <w:sz w:val="24"/>
        </w:rPr>
        <w:t>上述问题是确定责任主体和形成调解方案的事实基础，不是以民事审判替代行政规划。</w:t>
      </w:r>
    </w:p>
    <w:p>
      <w:pPr>
        <w:pStyle w:val="Heading1"/>
      </w:pPr>
      <w:r>
        <w:t>十三、开福棚改投是否参加诉讼，应根据诉请范围分层处理</w:t>
      </w:r>
    </w:p>
    <w:p>
      <w:pPr>
        <w:spacing w:line="360" w:lineRule="auto" w:after="100"/>
        <w:ind w:firstLine="420"/>
      </w:pPr>
      <w:r>
        <w:rPr>
          <w:rFonts w:ascii="宋体" w:hAnsi="宋体" w:eastAsia="宋体"/>
          <w:sz w:val="24"/>
        </w:rPr>
        <w:t>如果原告仅请求禁止科棚未经授权进入东301，并修复能够证明由科棚人员直接造成的钻孔、剔凿，责任可以与开福棚改投相对分离，追加后者并非裁判科棚直接行为责任的当然前提。</w:t>
      </w:r>
    </w:p>
    <w:p>
      <w:pPr>
        <w:spacing w:line="360" w:lineRule="auto" w:after="100"/>
        <w:ind w:firstLine="420"/>
      </w:pPr>
      <w:r>
        <w:rPr>
          <w:rFonts w:ascii="宋体" w:hAnsi="宋体" w:eastAsia="宋体"/>
          <w:sz w:val="24"/>
        </w:rPr>
        <w:t>如果诉请扩展至整栋共有区域的建筑废料、共同排水、围挡、整体修缮、加固及恢复安全使用功能，生效判决所确认的开福棚改投管理、改造依据及其现实履行能力即与裁判结果直接相关。为避免主体缺位、重复诉讼及判项无法履行，原告建议人民法院就追加开福棚改投为共同被告或者第三人依法释明，并给予相应举证期限。科棚具有本案被告主体适格性，与开福棚改投也有必要参加广泛恢复争议，并不矛盾。</w:t>
      </w:r>
    </w:p>
    <w:p>
      <w:pPr>
        <w:pStyle w:val="Heading1"/>
      </w:pPr>
      <w:r>
        <w:t>十四、涉及共有部分的请求，应区分个别业主权利保护与整体共有事项决策</w:t>
      </w:r>
    </w:p>
    <w:p>
      <w:pPr>
        <w:spacing w:line="360" w:lineRule="auto" w:after="100"/>
      </w:pPr>
      <w:r>
        <w:rPr>
          <w:rFonts w:ascii="宋体" w:hAnsi="宋体" w:eastAsia="宋体"/>
          <w:sz w:val="24"/>
        </w:rPr>
        <w:t>原告对其正常进出专有房屋所必需的通道、排水等共有部分依法享有权利，可以就直接妨碍其行使专有权和共有权的行为请求保护。但若诉请实质涉及共有排水系统整体改造、共有结构加固、出入口重构或其他重大共有事项，不仅涉及排除具体妨害，也可能影响其他业主共同利益和决策权。</w:t>
      </w:r>
    </w:p>
    <w:p>
      <w:pPr>
        <w:spacing w:line="360" w:lineRule="auto" w:after="100"/>
        <w:ind w:firstLine="420"/>
      </w:pPr>
      <w:r>
        <w:rPr>
          <w:rFonts w:ascii="宋体" w:hAnsi="宋体" w:eastAsia="宋体"/>
          <w:sz w:val="24"/>
        </w:rPr>
        <w:t>《最高人民法院关于适用〈中华人民共和国民事诉讼法〉的解释》第七十二条规定，共有财产权受到他人侵害，部分共有权人起诉的，其他共有权人为共同诉讼人。结合《民法典》第二百七十八条关于共有部分重大事项表决规则，本案应先取得整栋楼最新登记簿，核实湖南纽带商贸管理有限公司及其他权利人的登记状态。对只恢复原告必要通行、制止具体侵害且不处分共有利益的请求，可以个别保护；对涉及共有系统整体改造或共同处分的方案，宜通知或追加其他共有权人参加，或者转入全体相关主体自愿调解。</w:t>
      </w:r>
    </w:p>
    <w:p>
      <w:pPr>
        <w:pStyle w:val="Heading1"/>
      </w:pPr>
      <w:r>
        <w:t>十五、原诉请应由抽象“恢复原状”重构为具体排除妨害并恢复正常、安全使用功能</w:t>
      </w:r>
    </w:p>
    <w:p>
      <w:pPr>
        <w:spacing w:line="360" w:lineRule="auto" w:after="100"/>
        <w:ind w:firstLine="420"/>
      </w:pPr>
      <w:r>
        <w:rPr>
          <w:rFonts w:ascii="宋体" w:hAnsi="宋体" w:eastAsia="宋体"/>
          <w:sz w:val="24"/>
        </w:rPr>
        <w:t>“恢复原状”作为责任方式具有法律依据，但脱离点位、措施、功能和验收时，容易发生历史状态不明、工程路径唯一化和执行标准不清的问题。结合本案现状，建议按照以下层级明确：</w:t>
      </w:r>
    </w:p>
    <w:p>
      <w:pPr>
        <w:pStyle w:val="ListNumber"/>
        <w:spacing w:line="360" w:lineRule="auto" w:after="100"/>
      </w:pPr>
      <w:r>
        <w:rPr>
          <w:rFonts w:ascii="宋体" w:hAnsi="宋体" w:eastAsia="宋体"/>
          <w:sz w:val="24"/>
        </w:rPr>
        <w:t>清除经现场确认、能够归责于相应责任主体的特定位置建筑废料、拆除残留及检测施工残留，恢复相关区域正常、安全通行和使用；</w:t>
      </w:r>
    </w:p>
    <w:p>
      <w:pPr>
        <w:pStyle w:val="ListNumber"/>
        <w:spacing w:line="360" w:lineRule="auto" w:after="100"/>
      </w:pPr>
      <w:r>
        <w:rPr>
          <w:rFonts w:ascii="宋体" w:hAnsi="宋体" w:eastAsia="宋体"/>
          <w:sz w:val="24"/>
        </w:rPr>
        <w:t>修复经检测确认的特定排水管段，经通水试验达到排水通畅、无异常倒灌或漫溢；</w:t>
      </w:r>
    </w:p>
    <w:p>
      <w:pPr>
        <w:pStyle w:val="ListNumber"/>
        <w:spacing w:line="360" w:lineRule="auto" w:after="100"/>
      </w:pPr>
      <w:r>
        <w:rPr>
          <w:rFonts w:ascii="宋体" w:hAnsi="宋体" w:eastAsia="宋体"/>
          <w:sz w:val="24"/>
        </w:rPr>
        <w:t>对无权设置或已超出必要范围的围挡、锁闭及障碍予以拆移，或者在确有安全风险时提供持续、明确、安全的替代通道；</w:t>
      </w:r>
    </w:p>
    <w:p>
      <w:pPr>
        <w:pStyle w:val="ListNumber"/>
        <w:spacing w:line="360" w:lineRule="auto" w:after="100"/>
      </w:pPr>
      <w:r>
        <w:rPr>
          <w:rFonts w:ascii="宋体" w:hAnsi="宋体" w:eastAsia="宋体"/>
          <w:sz w:val="24"/>
        </w:rPr>
        <w:t>修复能够证明由责任主体造成的具体孔洞、剔凿和设施损坏；</w:t>
      </w:r>
    </w:p>
    <w:p>
      <w:pPr>
        <w:pStyle w:val="ListNumber"/>
        <w:spacing w:line="360" w:lineRule="auto" w:after="100"/>
      </w:pPr>
      <w:r>
        <w:rPr>
          <w:rFonts w:ascii="宋体" w:hAnsi="宋体" w:eastAsia="宋体"/>
          <w:sz w:val="24"/>
        </w:rPr>
        <w:t>只有在专业证据能够证明相应行为与安全状态下降存在因果关系时，方判令采取必要修缮、修复或加固措施，使相应部位恢复符合现行强制性标准的正常、安全使用状态。</w:t>
      </w:r>
    </w:p>
    <w:p>
      <w:pPr>
        <w:spacing w:line="360" w:lineRule="auto" w:after="100"/>
        <w:ind w:firstLine="420"/>
      </w:pPr>
      <w:r>
        <w:rPr>
          <w:rFonts w:ascii="宋体" w:hAnsi="宋体" w:eastAsia="宋体"/>
          <w:sz w:val="24"/>
        </w:rPr>
        <w:t>裁判应主要确定“结果”，不宜替代规划、保护和工程主管主体直接决定唯一技术方式。履行主体可以在不降低原告权利和安全使用功能、符合专业标准并履行法定审批的前提下，选择修缮、加固或功能等价修复。城市更新、“一屋一策”、改建及原拆原建应作为依法履行或调解中的可能路径，而非直接判令科棚实施的唯一方式。</w:t>
      </w:r>
    </w:p>
    <w:p>
      <w:pPr>
        <w:spacing w:line="360" w:lineRule="auto" w:after="100"/>
        <w:ind w:firstLine="420"/>
      </w:pPr>
      <w:r>
        <w:rPr>
          <w:rFonts w:ascii="宋体" w:hAnsi="宋体" w:eastAsia="宋体"/>
          <w:sz w:val="24"/>
        </w:rPr>
        <w:t>2023年B级完整报告目前缺失，且生效裁判所载仅为“主体结构安全性”结论。在报告对象、标准、范围与后续鉴定可比性经专业确认前，不建议把“恢复至不低于B/Bsu”写入判决主文。调解中可约定：先由共同选定的专业机构审查两份报告可比性；可比时以不低于可比历史安全状态作为辅助验收条件，不可比时以现行强制性标准、约定使用功能及复核结论为准。</w:t>
      </w:r>
    </w:p>
    <w:p>
      <w:pPr>
        <w:pStyle w:val="Heading1"/>
      </w:pPr>
      <w:r>
        <w:t>十六、人民法院宜优先形成明确、具体、可执行的民事判项，并将综合治理事项纳入调解</w:t>
      </w:r>
    </w:p>
    <w:p>
      <w:pPr>
        <w:spacing w:line="360" w:lineRule="auto" w:after="100"/>
        <w:ind w:firstLine="420"/>
      </w:pPr>
      <w:r>
        <w:rPr>
          <w:rFonts w:ascii="宋体" w:hAnsi="宋体" w:eastAsia="宋体"/>
          <w:sz w:val="24"/>
        </w:rPr>
        <w:t>在证据达到证明标准时，人民法院适宜直接判决的内容包括：停止未经授权或法定程序进入专有部分及实施侵入性操作；修复科棚自身行为造成的具体孔洞、剔凿或设施损坏；清除能够明确归责的特定废料；恢复能够明确归责的特定排水功能；排除由责任主体控制的不合理通行障碍。</w:t>
      </w:r>
    </w:p>
    <w:p>
      <w:pPr>
        <w:spacing w:line="360" w:lineRule="auto" w:after="100"/>
        <w:ind w:firstLine="420"/>
      </w:pPr>
      <w:r>
        <w:rPr>
          <w:rFonts w:ascii="宋体" w:hAnsi="宋体" w:eastAsia="宋体"/>
          <w:sz w:val="24"/>
        </w:rPr>
        <w:t>更适合在各方自愿基础上调解的内容包括：由开福棚改投或实际实施主体形成楠木厅12号“一屋一策”；楼栋整体修缮加固和复核；依法纳入城市更新项目；经业主决策、历史文化保护、规划和建设审批后实施改建或原拆原建；自愿市场化收购、产权置换、商业物业置换或现金与物业组合方案。</w:t>
      </w:r>
    </w:p>
    <w:p>
      <w:pPr>
        <w:spacing w:line="360" w:lineRule="auto" w:after="100"/>
        <w:ind w:firstLine="420"/>
      </w:pPr>
      <w:r>
        <w:rPr>
          <w:rFonts w:ascii="宋体" w:hAnsi="宋体" w:eastAsia="宋体"/>
          <w:sz w:val="24"/>
        </w:rPr>
        <w:t>调解协议不得使用“积极推进”“争取纳入”等不可执行表述。应明确履行主体、项目清单、期限、费用、审批申请义务、阶段成果、鉴定或验收机构、临时安置、未获审批时的替代方案、违约责任及可以申请强制执行的给付内容。</w:t>
      </w:r>
    </w:p>
    <w:p>
      <w:pPr>
        <w:pStyle w:val="Heading1"/>
      </w:pPr>
      <w:r>
        <w:t>十七、原告的调查取证、书证提出及现场勘验申请具有必要性</w:t>
      </w:r>
    </w:p>
    <w:p>
      <w:pPr>
        <w:spacing w:line="360" w:lineRule="auto" w:after="100"/>
        <w:ind w:firstLine="420"/>
      </w:pPr>
      <w:r>
        <w:rPr>
          <w:rFonts w:ascii="宋体" w:hAnsi="宋体" w:eastAsia="宋体"/>
          <w:sz w:val="24"/>
        </w:rPr>
        <w:t>为查明责任主体和形成可执行判项，原告请求人民法院依法调查或责令提交：</w:t>
      </w:r>
    </w:p>
    <w:p>
      <w:pPr>
        <w:pStyle w:val="ListNumber"/>
        <w:spacing w:line="360" w:lineRule="auto" w:after="100"/>
      </w:pPr>
      <w:r>
        <w:rPr>
          <w:rFonts w:ascii="宋体" w:hAnsi="宋体" w:eastAsia="宋体"/>
          <w:sz w:val="24"/>
        </w:rPr>
        <w:t>2026年4月完整110接处警单、报警录音、询问笔录、执法记录仪及人员身份核验材料；</w:t>
      </w:r>
    </w:p>
    <w:p>
      <w:pPr>
        <w:pStyle w:val="ListNumber"/>
        <w:spacing w:line="360" w:lineRule="auto" w:after="100"/>
      </w:pPr>
      <w:r>
        <w:rPr>
          <w:rFonts w:ascii="宋体" w:hAnsi="宋体" w:eastAsia="宋体"/>
          <w:sz w:val="24"/>
        </w:rPr>
        <w:t>2026年相关鉴定委托合同、付款凭证、现场通知、检测方案、点位图、人员名单、原始记录、报告及成果接收材料；</w:t>
      </w:r>
    </w:p>
    <w:p>
      <w:pPr>
        <w:pStyle w:val="ListNumber"/>
        <w:spacing w:line="360" w:lineRule="auto" w:after="100"/>
      </w:pPr>
      <w:r>
        <w:rPr>
          <w:rFonts w:ascii="宋体" w:hAnsi="宋体" w:eastAsia="宋体"/>
          <w:sz w:val="24"/>
        </w:rPr>
        <w:t>开福棚改投、北城资产、科棚、鉴定机构之间的授权、委托、项目管理、转委托和派工材料；</w:t>
      </w:r>
    </w:p>
    <w:p>
      <w:pPr>
        <w:pStyle w:val="ListNumber"/>
        <w:spacing w:line="360" w:lineRule="auto" w:after="100"/>
      </w:pPr>
      <w:r>
        <w:rPr>
          <w:rFonts w:ascii="宋体" w:hAnsi="宋体" w:eastAsia="宋体"/>
          <w:sz w:val="24"/>
        </w:rPr>
        <w:t>科棚协调生活垃圾清运的工作群、通知、派工、费用、验收、前后影像及“城投”主体说明；</w:t>
      </w:r>
    </w:p>
    <w:p>
      <w:pPr>
        <w:pStyle w:val="ListNumber"/>
        <w:spacing w:line="360" w:lineRule="auto" w:after="100"/>
      </w:pPr>
      <w:r>
        <w:rPr>
          <w:rFonts w:ascii="宋体" w:hAnsi="宋体" w:eastAsia="宋体"/>
          <w:sz w:val="24"/>
        </w:rPr>
        <w:t>楠木厅12号城市体检问题清单、危旧房治理清单、“一房/一屋一策”、项目入库、实施方案、资金及闭环处置记录；</w:t>
      </w:r>
    </w:p>
    <w:p>
      <w:pPr>
        <w:pStyle w:val="ListNumber"/>
        <w:spacing w:line="360" w:lineRule="auto" w:after="100"/>
      </w:pPr>
      <w:r>
        <w:rPr>
          <w:rFonts w:ascii="宋体" w:hAnsi="宋体" w:eastAsia="宋体"/>
          <w:sz w:val="24"/>
        </w:rPr>
        <w:t>整栋楼最新登记簿及门牌沿革材料；</w:t>
      </w:r>
    </w:p>
    <w:p>
      <w:pPr>
        <w:pStyle w:val="ListNumber"/>
        <w:spacing w:line="360" w:lineRule="auto" w:after="100"/>
      </w:pPr>
      <w:r>
        <w:rPr>
          <w:rFonts w:ascii="宋体" w:hAnsi="宋体" w:eastAsia="宋体"/>
          <w:sz w:val="24"/>
        </w:rPr>
        <w:t>2023年湖南湘力完整鉴定报告及2023年加固设计、施工、验收材料。</w:t>
      </w:r>
    </w:p>
    <w:p>
      <w:pPr>
        <w:spacing w:line="360" w:lineRule="auto" w:after="100"/>
        <w:ind w:firstLine="420"/>
      </w:pPr>
      <w:r>
        <w:rPr>
          <w:rFonts w:ascii="宋体" w:hAnsi="宋体" w:eastAsia="宋体"/>
          <w:sz w:val="24"/>
        </w:rPr>
        <w:t>同时申请法院对墙体点位、现存废料、排水管段、围挡范围和通行路线组织现场勘验。对结构安全、报告可比性或修复方案确有专门性争议且无法通过现有材料判断的，再依法启动鉴定，避免在责任主体和争议点位尚未查清前进行范围过宽的重复鉴定。</w:t>
      </w:r>
    </w:p>
    <w:p>
      <w:pPr>
        <w:pStyle w:val="Heading1"/>
      </w:pPr>
      <w:r>
        <w:t>十八、结论</w:t>
      </w:r>
    </w:p>
    <w:p>
      <w:pPr>
        <w:spacing w:line="360" w:lineRule="auto" w:after="100"/>
        <w:ind w:firstLine="420"/>
      </w:pPr>
      <w:r>
        <w:rPr>
          <w:rFonts w:ascii="宋体" w:hAnsi="宋体" w:eastAsia="宋体"/>
          <w:sz w:val="24"/>
        </w:rPr>
        <w:t>综上，本案应当沿“物权基础—现实妨害—行为主体—权限来源—因果关系—责任范围—履行标准”的顺序审理。科棚因被主张实施、组织或参与涉案入户及侵入性检测，与诉争法律关系存在直接关联，具有本案被告主体适格性；但其是否承担每一项实体责任，仍须逐项证明。科棚如主张具有鉴定权限，应提交权限来源及范围证据；若其自身或执行其任务人员造成具体毁损，不以其是否为整栋楼长期管理主体为责任前提。诉后垃圾协调如经证实，只能在实际介入和协调能力范围内评价，不能扩张为全部责任自认。</w:t>
      </w:r>
    </w:p>
    <w:p>
      <w:pPr>
        <w:spacing w:line="360" w:lineRule="auto" w:after="100"/>
        <w:ind w:firstLine="420"/>
      </w:pPr>
      <w:r>
        <w:rPr>
          <w:rFonts w:ascii="宋体" w:hAnsi="宋体" w:eastAsia="宋体"/>
          <w:sz w:val="24"/>
        </w:rPr>
        <w:t>长沙2026年城市更新政策说明危险住房治理、问题闭环、潮宗街保护修缮及多元更新路径已经存在，为查明治理方案和推动综合调解提供了现实基础；但该政策不是原告直接要求科棚实施原拆原建、城市更新或收购房屋的民事请求权来源。</w:t>
      </w:r>
    </w:p>
    <w:p>
      <w:pPr>
        <w:spacing w:line="360" w:lineRule="auto" w:after="100"/>
        <w:ind w:firstLine="420"/>
      </w:pPr>
      <w:r>
        <w:rPr>
          <w:rFonts w:ascii="宋体" w:hAnsi="宋体" w:eastAsia="宋体"/>
          <w:sz w:val="24"/>
        </w:rPr>
        <w:t>据此，请人民法院：对科棚直接行为及现存具体妨害进行充分调查；在证据能够证明的范围内，判令停止侵害、排除妨害、修复具体损坏并恢复相应正常、安全使用功能；对开福棚改投、其他共有权人及实际实施主体参加诉讼问题依法释明；并在尊重自愿、合法和可执行的前提下，主持各方就修缮加固、“一屋一策”、依法更新或市场化产权解决形成整体方案。</w:t>
      </w:r>
    </w:p>
    <w:p>
      <w:pPr>
        <w:spacing w:line="360" w:lineRule="auto" w:after="100"/>
      </w:pPr>
      <w:r>
        <w:rPr>
          <w:rFonts w:ascii="宋体" w:hAnsi="宋体" w:eastAsia="宋体"/>
          <w:sz w:val="24"/>
        </w:rPr>
        <w:t>此致 长沙市开福区人民法院</w:t>
      </w:r>
    </w:p>
    <w:p>
      <w:pPr>
        <w:spacing w:line="360" w:lineRule="auto" w:after="100"/>
      </w:pPr>
      <w:r>
        <w:rPr>
          <w:rFonts w:ascii="宋体" w:hAnsi="宋体" w:eastAsia="宋体"/>
          <w:sz w:val="24"/>
        </w:rPr>
        <w:t>原告委托诉讼代理人：_______________ 日期：_______年____月____日</w:t>
      </w:r>
    </w:p>
    <w:p>
      <w:pPr>
        <w:pStyle w:val="Heading1"/>
      </w:pPr>
      <w:r>
        <w:t>法源与政策效力说明</w:t>
      </w:r>
    </w:p>
    <w:p>
      <w:pPr>
        <w:pStyle w:val="ListNumber"/>
        <w:spacing w:line="360" w:lineRule="auto" w:after="100"/>
      </w:pPr>
      <w:r>
        <w:rPr>
          <w:rFonts w:ascii="宋体" w:hAnsi="宋体" w:eastAsia="宋体"/>
          <w:sz w:val="24"/>
        </w:rPr>
        <w:t>A类：《中华人民共和国民法典》；《中华人民共和国民事诉讼法》；《最高人民法院关于适用〈中华人民共和国民事诉讼法〉的解释》；《最高人民法院关于民事诉讼证据的若干规定》；《长沙市房屋安全管理条例》；《城市危险房屋管理规定》。A类用于确定请求权、责任、程序和危险房屋治理的规范基础。</w:t>
      </w:r>
    </w:p>
    <w:p>
      <w:pPr>
        <w:pStyle w:val="ListNumber"/>
        <w:spacing w:line="360" w:lineRule="auto" w:after="100"/>
      </w:pPr>
      <w:r>
        <w:rPr>
          <w:rFonts w:ascii="宋体" w:hAnsi="宋体" w:eastAsia="宋体"/>
          <w:sz w:val="24"/>
        </w:rPr>
        <w:t>B类：《长沙市全面推进城市更新行动方案（2026—2030年）》（长政办发〔2026〕6号）；《长沙市城镇危旧房屋改造实施意见》（长政办发〔2023〕21号）等。B类用于说明行政管理和现实治理路径，不直接替代民事责任要件。</w:t>
      </w:r>
    </w:p>
    <w:p>
      <w:pPr>
        <w:pStyle w:val="ListNumber"/>
        <w:spacing w:line="360" w:lineRule="auto" w:after="100"/>
      </w:pPr>
      <w:r>
        <w:rPr>
          <w:rFonts w:ascii="宋体" w:hAnsi="宋体" w:eastAsia="宋体"/>
          <w:sz w:val="24"/>
        </w:rPr>
        <w:t>C类：长沙城市更新专项规划征求意见稿、潮宗街和湘农桥官方案例介绍、采购公告及公开报道。C类仅用于说明实践背景和调查方向，不作为直接裁判规范。</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新版代理意见_长沙城市更新政策综合重构版_V1</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