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jc w:val="center"/>
      </w:pPr>
      <w:r>
        <w:rPr>
          <w:rFonts w:ascii="方正小标宋简体" w:hAnsi="方正小标宋简体" w:eastAsia="方正小标宋简体"/>
          <w:b/>
          <w:color w:val="000000"/>
          <w:sz w:val="44"/>
        </w:rPr>
        <w:t>代理意见</w:t>
      </w:r>
    </w:p>
    <w:p>
      <w:pPr>
        <w:spacing w:line="360" w:lineRule="auto" w:after="100"/>
      </w:pPr>
      <w:r>
        <w:rPr>
          <w:rFonts w:ascii="宋体" w:hAnsi="宋体" w:eastAsia="宋体"/>
          <w:sz w:val="24"/>
        </w:rPr>
        <w:t>案由：排除妨害纠纷 原告：李运芳 被告：长沙科棚潮宗街商业管理有限公司 案号：〔正式提交前据传票补正〕</w:t>
      </w:r>
    </w:p>
    <w:p>
      <w:pPr>
        <w:spacing w:line="360" w:lineRule="auto" w:after="100"/>
      </w:pPr>
      <w:r>
        <w:rPr>
          <w:rFonts w:ascii="宋体" w:hAnsi="宋体" w:eastAsia="宋体"/>
          <w:sz w:val="24"/>
        </w:rPr>
        <w:t>审判长、审判员：</w:t>
      </w:r>
    </w:p>
    <w:p>
      <w:pPr>
        <w:spacing w:line="360" w:lineRule="auto" w:after="100"/>
        <w:ind w:firstLine="420"/>
      </w:pPr>
      <w:r>
        <w:rPr>
          <w:rFonts w:ascii="宋体" w:hAnsi="宋体" w:eastAsia="宋体"/>
          <w:sz w:val="24"/>
        </w:rPr>
        <w:t>受原告李运芳委托，现根据原告现已掌握的证据、生效裁判以及截至本意见出具之日现行有效的法律规范和公开政策文件，就本案发表代理意见。对尚未列入本案证据目录的生效裁判、鉴定报告及其他材料，原告拟在举证期限内依法补充提交，其证明力以法庭质证、认证结果为准。</w:t>
      </w:r>
    </w:p>
    <w:p>
      <w:pPr>
        <w:pStyle w:val="Heading1"/>
      </w:pPr>
      <w:r>
        <w:t>一、本案系物权保护项下的排除妨害纠纷，应分别审查被诉现场行为、现存妨害状态及具体毁损</w:t>
      </w:r>
    </w:p>
    <w:p>
      <w:pPr>
        <w:spacing w:line="360" w:lineRule="auto" w:after="100"/>
        <w:ind w:firstLine="420"/>
      </w:pPr>
      <w:r>
        <w:rPr>
          <w:rFonts w:ascii="宋体" w:hAnsi="宋体" w:eastAsia="宋体"/>
          <w:sz w:val="24"/>
        </w:rPr>
        <w:t>本案不是要求人民法院制定城市更新规划或者决定工程项目的诉讼。原告请求保护的核心权益是：其对东301专有部分的所有权，以及为使用该专有部分所必需的共有通道、共有排水设施等部分享有的共有和共同管理权。</w:t>
      </w:r>
    </w:p>
    <w:p>
      <w:pPr>
        <w:spacing w:line="360" w:lineRule="auto" w:after="100"/>
        <w:ind w:firstLine="420"/>
      </w:pPr>
      <w:r>
        <w:rPr>
          <w:rFonts w:ascii="宋体" w:hAnsi="宋体" w:eastAsia="宋体"/>
          <w:sz w:val="24"/>
        </w:rPr>
        <w:t>《中华人民共和国民法典》第二百三十六条、第二百三十七条、第二百三十九条规定，物权受到妨害或者不动产毁损的，权利人可以分别请求排除妨害、消除危险、修理、重作、更换或者恢复原状，并可依法合并适用。涉及侵权责任的，还应根据第一千一百六十五条、第一千一百六十七条及相关责任规则审查行为、过错、因果关系和责任范围。</w:t>
      </w:r>
    </w:p>
    <w:p>
      <w:pPr>
        <w:spacing w:line="360" w:lineRule="auto" w:after="100"/>
      </w:pPr>
      <w:r>
        <w:rPr>
          <w:rFonts w:ascii="宋体" w:hAnsi="宋体" w:eastAsia="宋体"/>
          <w:sz w:val="24"/>
        </w:rPr>
        <w:t>原告现主张的事项具有不同的待证事实和责任基础：第一，科棚是否直接或者通过执行其任务的人员，参与进入东301并实施钻孔、凿墙等改变房屋物理状态的操作；第二，当前是否仍存在废料、排水、围挡和通行障碍，分别由谁形成、设置、控制或者依法负有排除义务；第三，具体损坏应采用何种修复方式和验收标准。上述事项应逐项审查，不能以对“鉴定权限”作出概括判断替代。</w:t>
      </w:r>
    </w:p>
    <w:p>
      <w:pPr>
        <w:spacing w:line="360" w:lineRule="auto" w:after="100"/>
        <w:ind w:firstLine="420"/>
      </w:pPr>
      <w:r>
        <w:rPr>
          <w:rFonts w:ascii="宋体" w:hAnsi="宋体" w:eastAsia="宋体"/>
          <w:sz w:val="24"/>
        </w:rPr>
        <w:t>长沙市2026年城市更新政策可以说明危险住房的现实治理路径，并为调查取证及调解提供制度背景，但不能替代对具体请求权基础、责任主体、妨害状态、因果关系及义务来源的审查。</w:t>
      </w:r>
    </w:p>
    <w:p>
      <w:pPr>
        <w:pStyle w:val="Heading1"/>
      </w:pPr>
      <w:r>
        <w:t>二、原告依法享有专有部分所有权及相应共有权，同时依法承担相应房屋安全使用责任</w:t>
      </w:r>
    </w:p>
    <w:p>
      <w:pPr>
        <w:spacing w:line="360" w:lineRule="auto" w:after="100"/>
      </w:pPr>
      <w:r>
        <w:rPr>
          <w:rFonts w:ascii="宋体" w:hAnsi="宋体" w:eastAsia="宋体"/>
          <w:sz w:val="24"/>
        </w:rPr>
        <w:t>原告提交的旧版《房屋所有权证》及（2023）湘8601行初1133号生效行政判决，可以共同用于证明原告对涉案房屋享有所有权。该判决记载李运芳系楠木厅12号楼303房业主，并确认未被征收的房屋仍归李运芳所有。因现有材料同时使用“东301”“303”“栗木巷002号002栋303”等门牌表述，原告将补充最新不动产登记簿、权证完整页及门牌沿革、地址对应材料。</w:t>
      </w:r>
    </w:p>
    <w:p>
      <w:pPr>
        <w:spacing w:line="360" w:lineRule="auto" w:after="100"/>
        <w:ind w:firstLine="420"/>
      </w:pPr>
      <w:r>
        <w:rPr>
          <w:rFonts w:ascii="宋体" w:hAnsi="宋体" w:eastAsia="宋体"/>
          <w:sz w:val="24"/>
        </w:rPr>
        <w:t>《民法典》第二百七十一条至第二百七十三条确认业主对专有部分、共有部分享有相应权利并承担义务。《长沙市房屋安全管理条例》第九条、第十条规定，房屋所有权人原则上是房屋安全使用责任人，负有检查房屋、及时治理安全隐患等责任；第二十条、第二十一条规定了安全鉴定的委托及主管部门代为委托机制；第二十五条要求危险房屋安全使用责任人及时采取治理和防护措施；第三十条要求相关单位和个人配合依法进行的治理、抢险。</w:t>
      </w:r>
    </w:p>
    <w:p>
      <w:pPr>
        <w:spacing w:line="360" w:lineRule="auto" w:after="100"/>
      </w:pPr>
      <w:r>
        <w:rPr>
          <w:rFonts w:ascii="宋体" w:hAnsi="宋体" w:eastAsia="宋体"/>
          <w:sz w:val="24"/>
        </w:rPr>
        <w:t>原告不否认其作为产权人承担相应安全使用责任，也不主张拒绝一切必要、合法的房屋检查、维修或加固。《民法典》第二百九十二条、第二百九十五条、第二百九十六条所确立的相邻关系规则，亦要求对必要施工提供便利，同时要求实施方不得危及相邻不动产安全，并尽量避免造成损害。</w:t>
      </w:r>
    </w:p>
    <w:p>
      <w:pPr>
        <w:spacing w:line="360" w:lineRule="auto" w:after="100"/>
      </w:pPr>
      <w:r>
        <w:rPr>
          <w:rFonts w:ascii="宋体" w:hAnsi="宋体" w:eastAsia="宋体"/>
          <w:sz w:val="24"/>
        </w:rPr>
        <w:t>原告承担房屋安全使用责任，不等于任何主体均可在缺乏合法权限来源、超出权限的对象或范围，或者虽有相应权限来源但未履行必要程序的情况下，进入其专有部分或者实施侵入性操作；也不排除其他主体因自身行为、实际管理、合同委托或者生效裁判所确认的管理改造依据而承担相应责任。本案应区分产权人、管理改造主体、鉴定或施工组织者和具体行为人各自的义务。</w:t>
      </w:r>
    </w:p>
    <w:p>
      <w:pPr>
        <w:pStyle w:val="Heading1"/>
      </w:pPr>
      <w:r>
        <w:t>三、科棚就原告明确主张的直接行为及其法律后果，具有本案被告主体适格性；实体责任仍须逐项证明</w:t>
      </w:r>
    </w:p>
    <w:p>
      <w:pPr>
        <w:spacing w:line="360" w:lineRule="auto" w:after="100"/>
      </w:pPr>
      <w:r>
        <w:rPr>
          <w:rFonts w:ascii="宋体" w:hAnsi="宋体" w:eastAsia="宋体"/>
          <w:sz w:val="24"/>
        </w:rPr>
        <w:t>原告明确主张科棚直接参与，或者有关现场人员系以科棚名义、受科棚指示或在执行科棚工作任务过程中，参与2026年4月涉案房屋鉴定、入户及侵入性检测，并请求科棚停止相应行为、修复具体损坏。就该诉争主张及其法律后果而言，科棚与本案诉争法律关系具有程序上的直接关联，原告将其列为被告具有相应事实及法律依据。</w:t>
      </w:r>
    </w:p>
    <w:p>
      <w:pPr>
        <w:spacing w:line="360" w:lineRule="auto" w:after="100"/>
        <w:ind w:firstLine="420"/>
      </w:pPr>
      <w:r>
        <w:rPr>
          <w:rFonts w:ascii="宋体" w:hAnsi="宋体" w:eastAsia="宋体"/>
          <w:sz w:val="24"/>
        </w:rPr>
        <w:t>该判断不预断原告已经完成对具体行为和责任的证明。被告主体适格与每一项实体诉请是否成立必须区分：如原告不能证明科棚参与具体行为或对特定妨害负有排除义务，法律后果应是相应实体诉请不能获得支持，而不是以此倒推科棚自始与本案诉争主张不存在程序上的直接关联。</w:t>
      </w:r>
    </w:p>
    <w:p>
      <w:pPr>
        <w:spacing w:line="360" w:lineRule="auto" w:after="100"/>
        <w:ind w:firstLine="420"/>
      </w:pPr>
      <w:r>
        <w:rPr>
          <w:rFonts w:ascii="宋体" w:hAnsi="宋体" w:eastAsia="宋体"/>
          <w:sz w:val="24"/>
        </w:rPr>
        <w:t>科棚主体适格也不等于其承担整栋楼全部历史失修、建筑废料、排水、围挡或者安全治理责任。原告只在证据能够证明的直接行为、管理或控制范围内主张责任。</w:t>
      </w:r>
    </w:p>
    <w:p>
      <w:pPr>
        <w:pStyle w:val="Heading1"/>
      </w:pPr>
      <w:r>
        <w:t>四、现有证据的证明范围及举证顺序应当明确</w:t>
      </w:r>
    </w:p>
    <w:p>
      <w:pPr>
        <w:spacing w:line="360" w:lineRule="auto" w:after="100"/>
      </w:pPr>
      <w:r>
        <w:rPr>
          <w:rFonts w:ascii="宋体" w:hAnsi="宋体" w:eastAsia="宋体"/>
          <w:sz w:val="24"/>
        </w:rPr>
        <w:t>原告当前能够提交的证据及其边界如下：</w:t>
      </w:r>
    </w:p>
    <w:p>
      <w:pPr>
        <w:pStyle w:val="ListNumber"/>
        <w:spacing w:line="360" w:lineRule="auto" w:after="100"/>
      </w:pPr>
      <w:r>
        <w:rPr>
          <w:rFonts w:ascii="宋体" w:hAnsi="宋体" w:eastAsia="宋体"/>
          <w:sz w:val="24"/>
        </w:rPr>
        <w:t>2026年4月27日《报警回执单》仅证明李燕当日报警以及公安机关登记，不记载4月19日现场经过、行为人身份、钻孔事实或者“有权鉴定”的陈述。相关事实尚需完整110接处警单、报警录音、询问笔录、执法记录仪和现场身份核验材料证明。</w:t>
      </w:r>
    </w:p>
    <w:p>
      <w:pPr>
        <w:pStyle w:val="ListNumber"/>
        <w:spacing w:line="360" w:lineRule="auto" w:after="100"/>
      </w:pPr>
      <w:r>
        <w:rPr>
          <w:rFonts w:ascii="宋体" w:hAnsi="宋体" w:eastAsia="宋体"/>
          <w:sz w:val="24"/>
        </w:rPr>
        <w:t>四张现场照片能够反映画面所示部位存在孔洞、剔凿、开槽及碎屑的外观；尚需原始载体、拍摄地点和时间、点位图、鉴定记录及现场勘验，用以证明损坏形成时间、行为主体和因果关系。</w:t>
      </w:r>
    </w:p>
    <w:p>
      <w:pPr>
        <w:pStyle w:val="ListNumber"/>
        <w:spacing w:line="360" w:lineRule="auto" w:after="100"/>
      </w:pPr>
      <w:r>
        <w:rPr>
          <w:rFonts w:ascii="宋体" w:hAnsi="宋体" w:eastAsia="宋体"/>
          <w:sz w:val="24"/>
        </w:rPr>
        <w:t>现有照片反映湖南纽带商业管理有限公司曾出具一份以“长沙科棚潮宗街商业管理有限公司潘勇团队”为受托对象的交易谈判授权文件，期限至2025年10月31日。该文件是否交付、接受并实际履行仍需结合原件和履行材料审查；其事项和期限不能覆盖2026年鉴定、入户或施工。</w:t>
      </w:r>
    </w:p>
    <w:p>
      <w:pPr>
        <w:pStyle w:val="ListNumber"/>
        <w:spacing w:line="360" w:lineRule="auto" w:after="100"/>
      </w:pPr>
      <w:r>
        <w:rPr>
          <w:rFonts w:ascii="宋体" w:hAnsi="宋体" w:eastAsia="宋体"/>
          <w:sz w:val="24"/>
        </w:rPr>
        <w:t>据原告陈述，科棚方面人员曾主张有权进行危房鉴定；现有证据中尚无原始电子数据佐证，该事实应结合公安材料、原始录音录像或者被告当庭陈述核实。</w:t>
      </w:r>
    </w:p>
    <w:p>
      <w:pPr>
        <w:pStyle w:val="ListNumber"/>
        <w:spacing w:line="360" w:lineRule="auto" w:after="100"/>
      </w:pPr>
      <w:r>
        <w:rPr>
          <w:rFonts w:ascii="宋体" w:hAnsi="宋体" w:eastAsia="宋体"/>
          <w:sz w:val="24"/>
        </w:rPr>
        <w:t>据原告陈述，本案起诉后科棚曾参与组织或者协调原告所称“城投”人员清理部分生活垃圾。原告现掌握的案涉材料中尚缺清运通知、工作群记录、派工、费用、清运前后影像及实施单位说明；准确实施法人和清运发生时间亦待查明。</w:t>
      </w:r>
    </w:p>
    <w:p>
      <w:pPr>
        <w:spacing w:line="360" w:lineRule="auto" w:after="100"/>
        <w:ind w:firstLine="420"/>
      </w:pPr>
      <w:r>
        <w:rPr>
          <w:rFonts w:ascii="宋体" w:hAnsi="宋体" w:eastAsia="宋体"/>
          <w:sz w:val="24"/>
        </w:rPr>
        <w:t>举证顺序应分为两个阶段：原告首先就科棚与涉案现场行为之间的关联承担举证责任；在原告提交现场身份、原始视听资料、公安记录或其他初步证据后，如科棚承认参与但以合法鉴定、管理、委托或者紧急安全措施作为抗辩，则科棚应对其主张的权限产生的事实依据、权限范围、有效期间及履行过程提交相应证据。不能以要求科棚说明权限代替原告对行为主体的初步证明；科棚仅作概括性陈述而未提交其控制的权源材料的，人民法院应依法评价该项抗辩的证明力。</w:t>
      </w:r>
    </w:p>
    <w:p>
      <w:pPr>
        <w:pStyle w:val="Heading1"/>
      </w:pPr>
      <w:r>
        <w:t>五、被告如主张现场行为具有合法权限，应根据具体法律关系说明权源、范围和实施过程</w:t>
      </w:r>
    </w:p>
    <w:p>
      <w:pPr>
        <w:spacing w:line="360" w:lineRule="auto" w:after="100"/>
      </w:pPr>
      <w:r>
        <w:rPr>
          <w:rFonts w:ascii="宋体" w:hAnsi="宋体" w:eastAsia="宋体"/>
          <w:sz w:val="24"/>
        </w:rPr>
        <w:t>被告如主张其参与现场活动具有合法依据，应说明：鉴定由谁决定、签约、付款和接收成果；科棚基于何种合同、任务文件或行政安排参与；权限是否包括楠木厅12号、东301专有部分及钻孔等侵入性检测；现场通知、检测点位、必要性、损害最小化及修复安排为何。</w:t>
      </w:r>
    </w:p>
    <w:p>
      <w:pPr>
        <w:spacing w:line="360" w:lineRule="auto" w:after="100"/>
        <w:ind w:firstLine="420"/>
      </w:pPr>
      <w:r>
        <w:rPr>
          <w:rFonts w:ascii="宋体" w:hAnsi="宋体" w:eastAsia="宋体"/>
          <w:sz w:val="24"/>
        </w:rPr>
        <w:t>不同法律关系适用的审查规则并不相同：</w:t>
      </w:r>
    </w:p>
    <w:p>
      <w:pPr>
        <w:pStyle w:val="ListNumber"/>
        <w:spacing w:line="360" w:lineRule="auto" w:after="100"/>
      </w:pPr>
      <w:r>
        <w:rPr>
          <w:rFonts w:ascii="宋体" w:hAnsi="宋体" w:eastAsia="宋体"/>
          <w:sz w:val="24"/>
        </w:rPr>
        <w:t>科棚如主张其基于民事代理关系实施对外行为，应依《民法典》第一百六十五条等规定提交授权事项、权限和期限；涉及转委托的，应依法说明委托人是否同意或追认。</w:t>
      </w:r>
    </w:p>
    <w:p>
      <w:pPr>
        <w:pStyle w:val="ListNumber"/>
        <w:spacing w:line="360" w:lineRule="auto" w:after="100"/>
      </w:pPr>
      <w:r>
        <w:rPr>
          <w:rFonts w:ascii="宋体" w:hAnsi="宋体" w:eastAsia="宋体"/>
          <w:sz w:val="24"/>
        </w:rPr>
        <w:t>如属于鉴定委托、施工承揽、劳动用工、项目管理或者行政协助，应分别依据合同、任务文件、行政决定和相应侵权责任规则审查。</w:t>
      </w:r>
    </w:p>
    <w:p>
      <w:pPr>
        <w:pStyle w:val="ListNumber"/>
        <w:spacing w:line="360" w:lineRule="auto" w:after="100"/>
      </w:pPr>
      <w:r>
        <w:rPr>
          <w:rFonts w:ascii="宋体" w:hAnsi="宋体" w:eastAsia="宋体"/>
          <w:sz w:val="24"/>
        </w:rPr>
        <w:t>无论关系性质为何，进入专有部分并改变其物理状态，均须有具体权限和必要性依据，并对实施程序及损坏修复作出说明。</w:t>
      </w:r>
    </w:p>
    <w:p>
      <w:pPr>
        <w:spacing w:line="360" w:lineRule="auto" w:after="100"/>
        <w:ind w:firstLine="420"/>
      </w:pPr>
      <w:r>
        <w:rPr>
          <w:rFonts w:ascii="宋体" w:hAnsi="宋体" w:eastAsia="宋体"/>
          <w:sz w:val="24"/>
        </w:rPr>
        <w:t>鉴定目的具有正当性、委托主体具有相应委托权限，均不当然意味着所采取的每一项现场检测方式具有必要性和相当性。专项鉴定权限不当然产生整栋楼长期管理职责，也不当然包括进入东301或钻孔。</w:t>
      </w:r>
    </w:p>
    <w:p>
      <w:pPr>
        <w:pStyle w:val="Heading1"/>
      </w:pPr>
      <w:r>
        <w:t>六、科棚是否对具体行为承担责任，应区分工作人员、独立承揽人、共同侵权和单纯协调</w:t>
      </w:r>
    </w:p>
    <w:p>
      <w:pPr>
        <w:pStyle w:val="ListNumber"/>
        <w:spacing w:line="360" w:lineRule="auto" w:after="100"/>
      </w:pPr>
      <w:r>
        <w:rPr>
          <w:rFonts w:ascii="宋体" w:hAnsi="宋体" w:eastAsia="宋体"/>
          <w:sz w:val="24"/>
        </w:rPr>
        <w:t>如科棚工作人员在执行工作任务过程中实施入户、钻孔、剔凿等行为，应依《民法典》第一千一百九十一条审查科棚责任，重点查明人员身份、任务、对外名义、指令、报销、成果接收和追认。</w:t>
      </w:r>
    </w:p>
    <w:p>
      <w:pPr>
        <w:pStyle w:val="ListNumber"/>
        <w:spacing w:line="360" w:lineRule="auto" w:after="100"/>
      </w:pPr>
      <w:r>
        <w:rPr>
          <w:rFonts w:ascii="宋体" w:hAnsi="宋体" w:eastAsia="宋体"/>
          <w:sz w:val="24"/>
        </w:rPr>
        <w:t>如鉴定或施工由独立承揽人实施，应依第一千一百九十三条审查。承揽人在完成工作过程中造成第三人损害，原则上由承揽人承担；科棚如系定作人，只有在定作、指示或者选任等方面存在过错时，方依法承担相应责任。</w:t>
      </w:r>
    </w:p>
    <w:p>
      <w:pPr>
        <w:pStyle w:val="ListNumber"/>
        <w:spacing w:line="360" w:lineRule="auto" w:after="100"/>
      </w:pPr>
      <w:r>
        <w:rPr>
          <w:rFonts w:ascii="宋体" w:hAnsi="宋体" w:eastAsia="宋体"/>
          <w:sz w:val="24"/>
        </w:rPr>
        <w:t>如科棚与他人共同实施、教唆或者帮助侵权，应依第一千一百六十八条、第一千一百六十九条审查共同意思、分工、具体帮助及因果关系。</w:t>
      </w:r>
    </w:p>
    <w:p>
      <w:pPr>
        <w:pStyle w:val="ListNumber"/>
        <w:spacing w:line="360" w:lineRule="auto" w:after="100"/>
      </w:pPr>
      <w:r>
        <w:rPr>
          <w:rFonts w:ascii="宋体" w:hAnsi="宋体" w:eastAsia="宋体"/>
          <w:sz w:val="24"/>
        </w:rPr>
        <w:t>如科棚仅从事联络、引导或者人员在场，且未控制点位、发出指令、实施操作或追认结果，原则上不足以据此单独认定其对专业操作后果承担责任。</w:t>
      </w:r>
    </w:p>
    <w:p>
      <w:pPr>
        <w:spacing w:line="360" w:lineRule="auto" w:after="100"/>
        <w:ind w:firstLine="420"/>
      </w:pPr>
      <w:r>
        <w:rPr>
          <w:rFonts w:ascii="宋体" w:hAnsi="宋体" w:eastAsia="宋体"/>
          <w:sz w:val="24"/>
        </w:rPr>
        <w:t>如证据能够证明科棚直接组织、指示实施相关行为，或者其工作人员执行工作任务时实施侵入性操作，科棚对该具体毁损承担责任不以其具有整栋楼长期管理职责为前提。反之，仅证明科棚与楼栋事务存在一般联系，不能替代对具体行为和责任类型的证明。</w:t>
      </w:r>
    </w:p>
    <w:p>
      <w:pPr>
        <w:pStyle w:val="Heading1"/>
      </w:pPr>
      <w:r>
        <w:t>七、生效行政裁判记载的开福棚改投管理、改造依据，不当然构成科棚参与涉案行为的授权依据</w:t>
      </w:r>
    </w:p>
    <w:p>
      <w:pPr>
        <w:spacing w:line="360" w:lineRule="auto" w:after="100"/>
        <w:ind w:firstLine="420"/>
      </w:pPr>
      <w:r>
        <w:rPr>
          <w:rFonts w:ascii="宋体" w:hAnsi="宋体" w:eastAsia="宋体"/>
          <w:sz w:val="24"/>
        </w:rPr>
        <w:t>（2023）湘8601行初1133号和（2023）湘01行终922号生效行政判决记载：2015年《关于同意开福区潮宗街街区地块棚改立项的批复》明确由长沙市开福棚改投资有限责任公司具体承担改造义务；在该批复未经法定程序撤销前，可以作为开福棚改投对楠木厅12号进行管理、改造的依据。依《最高人民法院关于民事诉讼证据的若干规定》第十条第六项，生效裁判所确认的基本事实原则上无须另行证明，但有相反证据足以推翻的除外。</w:t>
      </w:r>
    </w:p>
    <w:p>
      <w:pPr>
        <w:spacing w:line="360" w:lineRule="auto" w:after="100"/>
      </w:pPr>
      <w:r>
        <w:rPr>
          <w:rFonts w:ascii="宋体" w:hAnsi="宋体" w:eastAsia="宋体"/>
          <w:sz w:val="24"/>
        </w:rPr>
        <w:t>原告不在本案中否定生效裁判已经确认的2023年加固必要性和开福棚改投当时的管理改造依据，也不把经该裁判确认具有依据的2023年施工概括为本案侵权事实。本案争议在于：2026年科棚是否取得具体权源，是否进入东301实施侵入性操作，以及现存具体妨害分别应由谁排除。</w:t>
      </w:r>
    </w:p>
    <w:p>
      <w:pPr>
        <w:spacing w:line="360" w:lineRule="auto" w:after="100"/>
        <w:ind w:firstLine="420"/>
      </w:pPr>
      <w:r>
        <w:rPr>
          <w:rFonts w:ascii="宋体" w:hAnsi="宋体" w:eastAsia="宋体"/>
          <w:sz w:val="24"/>
        </w:rPr>
        <w:t>上述裁判可以说明开福棚改投曾具有管理、改造依据，但不能扩张为其承担全部历史民事责任；也不能通过股权、出资或一般项目合作关系转化为科棚的授权。开福棚改投与科棚即使存在关联，仍须以具体合同、授权、派工和履行材料证明科棚权限。</w:t>
      </w:r>
    </w:p>
    <w:p>
      <w:pPr>
        <w:pStyle w:val="Heading1"/>
      </w:pPr>
      <w:r>
        <w:t>八、诉后生活垃圾清运如经核实，可用于判断实际介入和协调行为，但不构成全部责任自认</w:t>
      </w:r>
    </w:p>
    <w:p>
      <w:pPr>
        <w:spacing w:line="360" w:lineRule="auto" w:after="100"/>
        <w:ind w:firstLine="420"/>
      </w:pPr>
      <w:r>
        <w:rPr>
          <w:rFonts w:ascii="宋体" w:hAnsi="宋体" w:eastAsia="宋体"/>
          <w:sz w:val="24"/>
        </w:rPr>
        <w:t>如原始电子数据、清运前后影像、派工和实施单位说明能够证明科棚在本案起诉后确曾发起、组织或协调原告所称“城投”主体清理部分生活垃圾，可作为判断科棚实际介入涉案楼栋事务并具有一定协调能力的相关证据，并可与其他证据共同用于判断其与诉争事实之间的关联。</w:t>
      </w:r>
    </w:p>
    <w:p>
      <w:pPr>
        <w:spacing w:line="360" w:lineRule="auto" w:after="100"/>
        <w:ind w:firstLine="420"/>
      </w:pPr>
      <w:r>
        <w:rPr>
          <w:rFonts w:ascii="宋体" w:hAnsi="宋体" w:eastAsia="宋体"/>
          <w:sz w:val="24"/>
        </w:rPr>
        <w:t>该事实尚不足以单独认定科棚系法定管理主体、生活垃圾产生者，亦不能直接证明其承担建筑垃圾、排水、围挡及历史修复义务。诉后清运或协调行为本身，不当然构成科棚对原告全部主张事实或者全部诉讼请求所涉责任的自认；科棚表达调解意愿，也不当然产生诉讼法意义上的自认效力。其是否对某一具体事实构成自认，应以明确陈述内容为准。</w:t>
      </w:r>
    </w:p>
    <w:p>
      <w:pPr>
        <w:spacing w:line="360" w:lineRule="auto" w:after="100"/>
        <w:ind w:firstLine="420"/>
      </w:pPr>
      <w:r>
        <w:rPr>
          <w:rFonts w:ascii="宋体" w:hAnsi="宋体" w:eastAsia="宋体"/>
          <w:sz w:val="24"/>
        </w:rPr>
        <w:t>还应查明清运时间与本案立案时间、“城投”准确法人、科棚联系人、联系依据、清理区域、费用和验收，并进一步查明生活垃圾与建筑废料、排水、围挡事项的责任分工及未同步处置原因。</w:t>
      </w:r>
    </w:p>
    <w:p>
      <w:pPr>
        <w:pStyle w:val="Heading1"/>
      </w:pPr>
      <w:r>
        <w:t>九、各项持续妨害应依据最新现状、责任主体及因果关系分别处理</w:t>
      </w:r>
    </w:p>
    <w:p>
      <w:pPr>
        <w:pStyle w:val="Heading2"/>
      </w:pPr>
      <w:r>
        <w:t>（一）钻孔、剔凿及局部损坏</w:t>
      </w:r>
    </w:p>
    <w:p>
      <w:pPr>
        <w:spacing w:line="360" w:lineRule="auto" w:after="100"/>
        <w:ind w:firstLine="420"/>
      </w:pPr>
      <w:r>
        <w:rPr>
          <w:rFonts w:ascii="宋体" w:hAnsi="宋体" w:eastAsia="宋体"/>
          <w:sz w:val="24"/>
        </w:rPr>
        <w:t>这是对科棚最应补强、也最可能形成明确判项的请求。原告应围绕原有状态、变化时间、行为主体、因果关系、合理修复方式及验收标准形成相互印证的证明体系。若经公安记录、鉴定点位、人员任务和勘验确认，应按点位编号判令安全修复，并以修复后不对结构安全和正常使用功能造成不利影响为标准。</w:t>
      </w:r>
    </w:p>
    <w:p>
      <w:pPr>
        <w:pStyle w:val="Heading2"/>
      </w:pPr>
      <w:r>
        <w:t>（二）建筑废料</w:t>
      </w:r>
    </w:p>
    <w:p>
      <w:pPr>
        <w:spacing w:line="360" w:lineRule="auto" w:after="100"/>
        <w:ind w:firstLine="420"/>
      </w:pPr>
      <w:r>
        <w:rPr>
          <w:rFonts w:ascii="宋体" w:hAnsi="宋体" w:eastAsia="宋体"/>
          <w:sz w:val="24"/>
        </w:rPr>
        <w:t>生活垃圾、历史拆除废料、2023年加固残留和2026年检测废料须分类。现有照片不足以证明建筑废料的完整点位、来源和科棚控制。补充点位图、连续影像、形成时间及工程记录后，方可对产生者或者依法负有清除义务的主体提出明确请求。</w:t>
      </w:r>
    </w:p>
    <w:p>
      <w:pPr>
        <w:pStyle w:val="Heading2"/>
      </w:pPr>
      <w:r>
        <w:t>（三）排水</w:t>
      </w:r>
    </w:p>
    <w:p>
      <w:pPr>
        <w:spacing w:line="360" w:lineRule="auto" w:after="100"/>
        <w:ind w:firstLine="420"/>
      </w:pPr>
      <w:r>
        <w:rPr>
          <w:rFonts w:ascii="宋体" w:hAnsi="宋体" w:eastAsia="宋体"/>
          <w:sz w:val="24"/>
        </w:rPr>
        <w:t>排水请求应查明原管线、堵点或破损点、变化时间及责任主体，并以通水或闭水试验作为功能验收。当前缺少管线和专业检测，也缺少科棚行为与功能异常的因果证据。未完成勘验、检测前，不宜请求人民法院直接判令科棚恢复整栋排水。</w:t>
      </w:r>
    </w:p>
    <w:p>
      <w:pPr>
        <w:pStyle w:val="Heading2"/>
      </w:pPr>
      <w:r>
        <w:t>（四）围挡及通行</w:t>
      </w:r>
    </w:p>
    <w:p>
      <w:pPr>
        <w:spacing w:line="360" w:lineRule="auto" w:after="100"/>
        <w:ind w:firstLine="420"/>
      </w:pPr>
      <w:r>
        <w:rPr>
          <w:rFonts w:ascii="宋体" w:hAnsi="宋体" w:eastAsia="宋体"/>
          <w:sz w:val="24"/>
        </w:rPr>
        <w:t>围挡可能是《长沙市房屋安全管理条例》第二十五条要求的临时防护措施，不能仅因影响通行即当然全部拆除。应查明设置和控制主体、现实风险、区段、期限及替代通道。若无权设置或者范围、期限超过安全必要，应拆移具体区段；如风险现实存在，应提供与风险相适应的安全替代通道。</w:t>
      </w:r>
    </w:p>
    <w:p>
      <w:pPr>
        <w:pStyle w:val="Heading2"/>
      </w:pPr>
      <w:r>
        <w:t>（五）门窗、照明及其他设施</w:t>
      </w:r>
    </w:p>
    <w:p>
      <w:pPr>
        <w:spacing w:line="360" w:lineRule="auto" w:after="100"/>
        <w:ind w:firstLine="420"/>
      </w:pPr>
      <w:r>
        <w:rPr>
          <w:rFonts w:ascii="宋体" w:hAnsi="宋体" w:eastAsia="宋体"/>
          <w:sz w:val="24"/>
        </w:rPr>
        <w:t>2022年报告已记载旧门窗大部分拆除，楼栋又经历历史征收、长期空置和2023年加固。没有原状态、变化时间和行为主体证据的项目，不应概括归责科棚。</w:t>
      </w:r>
    </w:p>
    <w:p>
      <w:pPr>
        <w:pStyle w:val="Heading1"/>
      </w:pPr>
      <w:r>
        <w:t>十、现有安全等级材料不能证明“先B后C”，也不能证明科棚导致当前安全状态下降</w:t>
      </w:r>
    </w:p>
    <w:p>
      <w:pPr>
        <w:spacing w:line="360" w:lineRule="auto" w:after="100"/>
        <w:ind w:firstLine="420"/>
      </w:pPr>
      <w:r>
        <w:rPr>
          <w:rFonts w:ascii="宋体" w:hAnsi="宋体" w:eastAsia="宋体"/>
          <w:sz w:val="24"/>
        </w:rPr>
        <w:t>2022年湖南同宇检测有限公司JD-2022-0200报告由开福棚改投委托，对“潮宗街片区新编227号楼”进行鉴定。报告记载：地基基础子单元安全性等级为Bu级，上部承重结构子单元安全性等级为Cu级，围护系统承重部分子单元安全性等级为Cu级，鉴定单元安全性等级为Csu级；并建议由有资质单位进行加固设计、施工。生效行政裁判另行记载，开福棚改投组织加固后，2023年湖南湘力报告认定“该工程现阶段主体结构安全性鉴定等级为B级”。</w:t>
      </w:r>
    </w:p>
    <w:p>
      <w:pPr>
        <w:spacing w:line="360" w:lineRule="auto" w:after="100"/>
        <w:ind w:firstLine="420"/>
      </w:pPr>
      <w:r>
        <w:rPr>
          <w:rFonts w:ascii="宋体" w:hAnsi="宋体" w:eastAsia="宋体"/>
          <w:sz w:val="24"/>
        </w:rPr>
        <w:t>因此，现有时间顺序是2022年鉴定单元安全性Csu级，之后加固，2023年主体结构安全性B级。完整2023年报告尚未取得，其对象、范围、标准和具体问题不能与2022报告逐项比较；本案现有材料中也未发现能够证明2026年当前安全等级的新报告。原告不主张“房屋先为B级后降为C级”，也不以2022年结论替代当前状态。政府交办或者行政管理材料如将涉案楼栋简称为“C级危房”，应按该文件的原有语境理解，不与鉴定报告中的Csu级结论混写。</w:t>
      </w:r>
    </w:p>
    <w:p>
      <w:pPr>
        <w:spacing w:line="360" w:lineRule="auto" w:after="100"/>
        <w:ind w:firstLine="420"/>
      </w:pPr>
      <w:r>
        <w:rPr>
          <w:rFonts w:ascii="宋体" w:hAnsi="宋体" w:eastAsia="宋体"/>
          <w:sz w:val="24"/>
        </w:rPr>
        <w:t>“恢复至不低于B级”目前不适合作为判决标准。对具体损坏，应以明确点位、合理修复方案、实施时适用的强制性标准及复核不产生结构和使用功能不利影响为验收依据。整体安全使用状态只有在取得当前专业结论，并证明科棚行为与安全性能降低存在因果关系后，才可能成为对科棚的给付内容。</w:t>
      </w:r>
    </w:p>
    <w:p>
      <w:pPr>
        <w:pStyle w:val="Heading1"/>
      </w:pPr>
      <w:r>
        <w:t>十一、鉴定不是治理终点，但治理责任须在产权、管理、委托和具体行为之间依法分配</w:t>
      </w:r>
    </w:p>
    <w:p>
      <w:pPr>
        <w:spacing w:line="360" w:lineRule="auto" w:after="100"/>
        <w:ind w:firstLine="420"/>
      </w:pPr>
      <w:r>
        <w:rPr>
          <w:rFonts w:ascii="宋体" w:hAnsi="宋体" w:eastAsia="宋体"/>
          <w:sz w:val="24"/>
        </w:rPr>
        <w:t>危险房屋鉴定用于识别风险、提出处理意见。依《长沙市房屋安全管理条例》第二十五条和《城市危险房屋管理规定》第十六条、第十七条，危险房屋安全使用责任人应及时治理、防护，并按鉴定建议进行加固或修缮。无论行政管理材料所称“C级危房”，还是鉴定报告中的Csu级安全性结论，均不能被概括理解为只能围挡、不能修缮或者必须拆除；临时警示、防护与永久治理具有不同功能。</w:t>
      </w:r>
    </w:p>
    <w:p>
      <w:pPr>
        <w:spacing w:line="360" w:lineRule="auto" w:after="100"/>
      </w:pPr>
      <w:r>
        <w:rPr>
          <w:rFonts w:ascii="宋体" w:hAnsi="宋体" w:eastAsia="宋体"/>
          <w:sz w:val="24"/>
        </w:rPr>
        <w:t>原告作为所有权人依法承担相应安全使用责任；楠木厅12号同时属于多产权楼栋，生效裁判又记载开福棚改投具有管理、改造依据，并曾作为2022年鉴定委托人、2023年加固组织者。故本案需要查明的不是把产权人义务概括转移给科棚，而是各产权人、管理改造主体、鉴定或施工组织者以及具体行为人分别承担何种义务。</w:t>
      </w:r>
    </w:p>
    <w:p>
      <w:pPr>
        <w:spacing w:line="360" w:lineRule="auto" w:after="100"/>
        <w:ind w:firstLine="420"/>
      </w:pPr>
      <w:r>
        <w:rPr>
          <w:rFonts w:ascii="宋体" w:hAnsi="宋体" w:eastAsia="宋体"/>
          <w:sz w:val="24"/>
        </w:rPr>
        <w:t>如科棚确以其具有管理、受托管理、安全管理或鉴定组织权限为现场行为依据，其应说明权限所对应的事项和职责；但专项鉴定权限仍不当然产生后续整栋治理义务。对其自身行为造成的具体损坏，则依民法责任规则独立处理。</w:t>
      </w:r>
    </w:p>
    <w:p>
      <w:pPr>
        <w:pStyle w:val="Heading1"/>
      </w:pPr>
      <w:r>
        <w:t>十二、长沙2026年城市更新政策只作为后续治理、调查及调解背景，不溯及评价2026年4月行为</w:t>
      </w:r>
    </w:p>
    <w:p>
      <w:pPr>
        <w:spacing w:line="360" w:lineRule="auto" w:after="100"/>
        <w:ind w:firstLine="420"/>
      </w:pPr>
      <w:r>
        <w:rPr>
          <w:rFonts w:ascii="宋体" w:hAnsi="宋体" w:eastAsia="宋体"/>
          <w:sz w:val="24"/>
        </w:rPr>
        <w:t>《长沙市全面推进城市更新行动方案（2026—2030年）》（长政办发〔2026〕6号，统一登记号CSCR—2026—01003）由长沙市人民政府办公室于2026年3月26日印发，自2026年5月1日起施行，有效至2030年12月31日。原告所述现场行为发生在该方案施行前，故该方案不用于判断2026年4月行为是否合法。</w:t>
      </w:r>
    </w:p>
    <w:p>
      <w:pPr>
        <w:spacing w:line="360" w:lineRule="auto" w:after="100"/>
        <w:ind w:firstLine="420"/>
      </w:pPr>
      <w:r>
        <w:rPr>
          <w:rFonts w:ascii="宋体" w:hAnsi="宋体" w:eastAsia="宋体"/>
          <w:sz w:val="24"/>
        </w:rPr>
        <w:t>该方案现行内容与后续治理有关：第二项要求“健全房屋体检与安全防控体系，稳妥推进危险住房和国有企业事业单位非成套住房改造。支持老旧住房自主更新、原拆原建”；第十一项点名“太平街、西文庙坪、潮宗街等历史文化街区”，要求保护修缮与活化利用，并提出“老城不能再拆”，规定除依法依规实行“一屋一策”改造维护和使用外，严禁以危险住房名义违法违规拆除改造历史文化街区、传统村落、文物、历史建筑等；第十五项将城市体检作为更新依据，要求问题闭环处置；第十六至十九项建立“专项规划—片区策划—项目实施方案”体系，并由更新实施主体编制项目实施方案、依程序审定实施；第二十五项坚持“政府引导、市场运作、公众参与”。</w:t>
      </w:r>
    </w:p>
    <w:p>
      <w:pPr>
        <w:spacing w:line="360" w:lineRule="auto" w:after="100"/>
        <w:ind w:firstLine="420"/>
      </w:pPr>
      <w:r>
        <w:rPr>
          <w:rFonts w:ascii="宋体" w:hAnsi="宋体" w:eastAsia="宋体"/>
          <w:sz w:val="24"/>
        </w:rPr>
        <w:t>该政策可以说明修缮、加固、自主更新、依法原拆原建及市场化产权整合均属可能路径；可以支持查明楠木厅12号的体检、风险、治理清单、项目入库和具体方案；可以为调解提供工具。其不能证明科棚实施侵害，不能把开福棚改投职责转移给科棚，也不产生要求科棚原拆原建、收购房屋或实施城市更新项目的直接民事请求权。</w:t>
      </w:r>
    </w:p>
    <w:p>
      <w:pPr>
        <w:spacing w:line="360" w:lineRule="auto" w:after="100"/>
        <w:ind w:firstLine="420"/>
      </w:pPr>
      <w:r>
        <w:rPr>
          <w:rFonts w:ascii="宋体" w:hAnsi="宋体" w:eastAsia="宋体"/>
          <w:sz w:val="24"/>
        </w:rPr>
        <w:t>《长沙市人民政府办公厅关于进一步加快推进城镇危旧房屋改造工作的实施意见》（长政办发〔2023〕21号）进一步规定，C、D级危旧房可以征收、维修加固、拆除重建等方式分类治理，异产毗连房屋由区县政府协调产权人明确实施主体和费用，历史文化街区保护范围内的房屋优先修缮。该文件同样属于政策性治理依据，不直接确定科棚的本案责任。</w:t>
      </w:r>
    </w:p>
    <w:p>
      <w:pPr>
        <w:spacing w:line="360" w:lineRule="auto" w:after="100"/>
        <w:ind w:firstLine="420"/>
      </w:pPr>
      <w:r>
        <w:rPr>
          <w:rFonts w:ascii="宋体" w:hAnsi="宋体" w:eastAsia="宋体"/>
          <w:sz w:val="24"/>
        </w:rPr>
        <w:t>2026年8月3日公布的《长沙市历史文化街区保护管理办法》将于2026年9月10日起施行；施行前不能作为确定当前责任的现行规范。尚处于征求意见阶段的城市更新专项规划亦不能作为定案依据。</w:t>
      </w:r>
    </w:p>
    <w:p>
      <w:pPr>
        <w:pStyle w:val="Heading1"/>
      </w:pPr>
      <w:r>
        <w:t>十三、楠木厅12号的“一房一策”、保护身份和更新项目情况尚需依具体文件查明</w:t>
      </w:r>
    </w:p>
    <w:p>
      <w:pPr>
        <w:spacing w:line="360" w:lineRule="auto" w:after="100"/>
        <w:ind w:firstLine="420"/>
      </w:pPr>
      <w:r>
        <w:rPr>
          <w:rFonts w:ascii="宋体" w:hAnsi="宋体" w:eastAsia="宋体"/>
          <w:sz w:val="24"/>
        </w:rPr>
        <w:t>2022年鉴定报告附件所涉2023年整治材料提出危险房屋“一房一策”，并要求明确责任人、治理方式、资金和期限。2026年行动方案提出历史文化保护中的“一屋一策”。两者适用背景、责任主体和程序不同，不能混同。</w:t>
      </w:r>
    </w:p>
    <w:p>
      <w:pPr>
        <w:spacing w:line="360" w:lineRule="auto" w:after="100"/>
        <w:ind w:firstLine="420"/>
      </w:pPr>
      <w:r>
        <w:rPr>
          <w:rFonts w:ascii="宋体" w:hAnsi="宋体" w:eastAsia="宋体"/>
          <w:sz w:val="24"/>
        </w:rPr>
        <w:t>目前公开材料未能证明楠木厅12号已经列入2026—2030城市更新项目库，也未发现针对该楼的现行项目实施方案。潮宗街2026年结构安全鉴定采购公开文件未附门牌清单，不能据此认定12号已经纳入。还需查明该楼是否位于法定历史文化街区保护范围、是否属于历史建筑或传统风貌建筑，方可判断具体“一屋一策”规则。</w:t>
      </w:r>
    </w:p>
    <w:p>
      <w:pPr>
        <w:spacing w:line="360" w:lineRule="auto" w:after="100"/>
        <w:ind w:firstLine="420"/>
      </w:pPr>
      <w:r>
        <w:rPr>
          <w:rFonts w:ascii="宋体" w:hAnsi="宋体" w:eastAsia="宋体"/>
          <w:sz w:val="24"/>
        </w:rPr>
        <w:t>应通过政府信息公开及法院调查取得：2023年针对12号的“一房一策”；当前城市体检和风险问题清单；问题交办、整改、复核和销号记录；危旧房治理及项目库资料；片区策划、范围图和建筑清单；治理责任主体、资金及未实施原因。上述材料用于识别治理路径和责任主体，不能反向推定科棚负有民事责任。</w:t>
      </w:r>
    </w:p>
    <w:p>
      <w:pPr>
        <w:pStyle w:val="Heading1"/>
      </w:pPr>
      <w:r>
        <w:t>十四、开福棚改投参加诉讼与其他共有权人程序，应按诉请范围作出明确选择</w:t>
      </w:r>
    </w:p>
    <w:p>
      <w:pPr>
        <w:spacing w:line="360" w:lineRule="auto" w:after="100"/>
        <w:ind w:firstLine="420"/>
      </w:pPr>
      <w:r>
        <w:rPr>
          <w:rFonts w:ascii="宋体" w:hAnsi="宋体" w:eastAsia="宋体"/>
          <w:sz w:val="24"/>
        </w:rPr>
        <w:t>如果原告只请求科棚停止对东301的无合法权限侵入，并修复能够证明由科棚或其工作人员造成的具体孔洞，责任可以分别审理，无须仅为裁判该直接行为而追加开福棚改投为共同被告；为查明授权来源，可以申请其作为第三人参加或调查其掌握的材料。</w:t>
      </w:r>
    </w:p>
    <w:p>
      <w:pPr>
        <w:spacing w:line="360" w:lineRule="auto" w:after="100"/>
        <w:ind w:firstLine="420"/>
      </w:pPr>
      <w:r>
        <w:rPr>
          <w:rFonts w:ascii="宋体" w:hAnsi="宋体" w:eastAsia="宋体"/>
          <w:sz w:val="24"/>
        </w:rPr>
        <w:t>如果原告继续要求处理整栋共有区域的建筑废料、共同排水、围挡、整体修缮加固或恢复安全使用，应在举证期限内申请追加开福棚改投为共同被告并相应分列诉讼请求，不宜只将其列为第三人后再请求法院判令其履行。</w:t>
      </w:r>
    </w:p>
    <w:p>
      <w:pPr>
        <w:spacing w:line="360" w:lineRule="auto" w:after="100"/>
        <w:ind w:firstLine="420"/>
      </w:pPr>
      <w:r>
        <w:rPr>
          <w:rFonts w:ascii="宋体" w:hAnsi="宋体" w:eastAsia="宋体"/>
          <w:sz w:val="24"/>
        </w:rPr>
        <w:t>共有部分程序应作三类区分：</w:t>
      </w:r>
    </w:p>
    <w:p>
      <w:pPr>
        <w:pStyle w:val="ListNumber"/>
        <w:spacing w:line="360" w:lineRule="auto" w:after="100"/>
      </w:pPr>
      <w:r>
        <w:rPr>
          <w:rFonts w:ascii="宋体" w:hAnsi="宋体" w:eastAsia="宋体"/>
          <w:sz w:val="24"/>
        </w:rPr>
        <w:t>东301专有部分损坏，由原告单独起诉。</w:t>
      </w:r>
    </w:p>
    <w:p>
      <w:pPr>
        <w:pStyle w:val="ListNumber"/>
        <w:spacing w:line="360" w:lineRule="auto" w:after="100"/>
      </w:pPr>
      <w:r>
        <w:rPr>
          <w:rFonts w:ascii="宋体" w:hAnsi="宋体" w:eastAsia="宋体"/>
          <w:sz w:val="24"/>
        </w:rPr>
        <w:t>无权占用、堵塞通道等直接妨害原告行使专有权和共有权的行为，原告原则上可依《民法典》第二百七十三条、第二百八十七条及建筑物区分所有权司法解释第十四条请求保护，人民法院可根据影响范围通知其他业主参加。</w:t>
      </w:r>
    </w:p>
    <w:p>
      <w:pPr>
        <w:pStyle w:val="ListNumber"/>
        <w:spacing w:line="360" w:lineRule="auto" w:after="100"/>
      </w:pPr>
      <w:r>
        <w:rPr>
          <w:rFonts w:ascii="宋体" w:hAnsi="宋体" w:eastAsia="宋体"/>
          <w:sz w:val="24"/>
        </w:rPr>
        <w:t>整体排水系统重构、主体结构加固、改变出入口或原拆原建等重大共有事项，应取得整栋最新登记簿，核实湖南纽带商贸管理有限公司及其他权利人，并依《最高人民法院关于适用〈中华人民共和国民事诉讼法〉的解释》第七十二条及《民法典》第二百七十八条处理共同诉讼和业主共同决定。</w:t>
      </w:r>
    </w:p>
    <w:p>
      <w:pPr>
        <w:pStyle w:val="Heading1"/>
      </w:pPr>
      <w:r>
        <w:t>十五、原告对现有诉讼请求的明确处理意见</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事项</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当前证明状态</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处理意见</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无合法权限进入东301并实施侵入性操作</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行为主体、原话和再次发生风险待公安及原始电子数据补强</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收窄至东301专有部分；取得初步证据后作为主位请求</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对共有部位的一般性进入或操作禁令</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原告无排他控制权，必要治理可能合法</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删除概括禁令；改为排除已经查明的具体障碍和修复具体损坏</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铁门、出入口一般禁令</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权属、消防、安全和控制主体不明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先勘验、核实；不作绝对禁止，必要时请求具体安全通行</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生活垃圾</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据称部分已清，原始清运材料待补</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对已经履行部分不重复请求；仅作为有待核实的事实</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建筑废料</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来源、点位和控制主体不明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补点位图、来源和责任主体后提出具体清运请求</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排水</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无管线、通水检测和科棚因果证据</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先勘验、检测；当前不请求直接判科棚恢复整栋排水</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围挡、通行</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当前状态、设置/控制主体和必要性不明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补证后请求拆移具体过度区段或提供安全替代通道</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钻孔、剔凿局部修复</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照片证明外观，行为主体和因果待补</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作为最应补强的主位给付请求，按点位、方案和验收明确</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整体修缮加固、安全使用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无当前安全报告及科棚导致下降的专业因果</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不作为现证下对科棚的直接判项；开福棚改投参加且证据成立后再分列，或进入调解</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一屋一策、城市更新、原拆原建、收购置换</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属项目、审批和自愿交易事项</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不作为法院直接判项；只作为有权主体参加的调解目标</w:t>
            </w:r>
          </w:p>
        </w:tc>
      </w:tr>
    </w:tbl>
    <w:p>
      <w:pPr>
        <w:spacing w:after="20"/>
      </w:pPr>
    </w:p>
    <w:p>
      <w:pPr>
        <w:spacing w:line="360" w:lineRule="auto" w:after="100"/>
      </w:pPr>
      <w:r>
        <w:rPr>
          <w:rFonts w:ascii="宋体" w:hAnsi="宋体" w:eastAsia="宋体"/>
          <w:sz w:val="24"/>
        </w:rPr>
        <w:t>原告已同步拟具《变更、明确诉讼请求申请书（建议稿）》及《损坏点位、修复措施、期限与验收附件（待勘验确认稿）》。其中，停止行为请求已经按照权源、范围和程序分别表述；修复请求以照片P1至P4暂行编号。鉴于现有照片尚未附比例尺，部分拍摄地点和P3与其他点位的对应关系仍待现场勘验确认，原告将在勘验后及时提交定稿。代理意见本身不替代依法进行的诉讼请求变更。</w:t>
      </w:r>
    </w:p>
    <w:p>
      <w:pPr>
        <w:pStyle w:val="Heading1"/>
      </w:pPr>
      <w:r>
        <w:t>十六、人民法院宜先行调查、勘验，再决定是否启动专门鉴定</w:t>
      </w:r>
    </w:p>
    <w:p>
      <w:pPr>
        <w:spacing w:line="360" w:lineRule="auto" w:after="100"/>
      </w:pPr>
      <w:r>
        <w:rPr>
          <w:rFonts w:ascii="宋体" w:hAnsi="宋体" w:eastAsia="宋体"/>
          <w:sz w:val="24"/>
        </w:rPr>
        <w:t>原告申请：</w:t>
      </w:r>
    </w:p>
    <w:p>
      <w:pPr>
        <w:pStyle w:val="ListNumber"/>
        <w:spacing w:line="360" w:lineRule="auto" w:after="100"/>
      </w:pPr>
      <w:r>
        <w:rPr>
          <w:rFonts w:ascii="宋体" w:hAnsi="宋体" w:eastAsia="宋体"/>
          <w:sz w:val="24"/>
        </w:rPr>
        <w:t>向公安机关调查2026年4月完整接处警记录、报警录音、询问笔录、执法记录仪及人员身份核验材料；</w:t>
      </w:r>
    </w:p>
    <w:p>
      <w:pPr>
        <w:pStyle w:val="ListNumber"/>
        <w:spacing w:line="360" w:lineRule="auto" w:after="100"/>
      </w:pPr>
      <w:r>
        <w:rPr>
          <w:rFonts w:ascii="宋体" w:hAnsi="宋体" w:eastAsia="宋体"/>
          <w:sz w:val="24"/>
        </w:rPr>
        <w:t>对科棚控制的劳动用工资料、委托合同、派工记录、付款凭证、工作群记录、现场记录和成果接收材料，另行申请人民法院责令提交；</w:t>
      </w:r>
    </w:p>
    <w:p>
      <w:pPr>
        <w:pStyle w:val="ListNumber"/>
        <w:spacing w:line="360" w:lineRule="auto" w:after="100"/>
      </w:pPr>
      <w:r>
        <w:rPr>
          <w:rFonts w:ascii="宋体" w:hAnsi="宋体" w:eastAsia="宋体"/>
          <w:sz w:val="24"/>
        </w:rPr>
        <w:t>向开福棚改投、鉴定机构及相关单位调查鉴定合同、付款、点位、人员、原始记录、报告、授权和加固材料；</w:t>
      </w:r>
    </w:p>
    <w:p>
      <w:pPr>
        <w:pStyle w:val="ListNumber"/>
        <w:spacing w:line="360" w:lineRule="auto" w:after="100"/>
      </w:pPr>
      <w:r>
        <w:rPr>
          <w:rFonts w:ascii="宋体" w:hAnsi="宋体" w:eastAsia="宋体"/>
          <w:sz w:val="24"/>
        </w:rPr>
        <w:t>对墙体点位、现存废料、排水、围挡和通行路线进行现场勘验；</w:t>
      </w:r>
    </w:p>
    <w:p>
      <w:pPr>
        <w:pStyle w:val="ListNumber"/>
        <w:spacing w:line="360" w:lineRule="auto" w:after="100"/>
      </w:pPr>
      <w:r>
        <w:rPr>
          <w:rFonts w:ascii="宋体" w:hAnsi="宋体" w:eastAsia="宋体"/>
          <w:sz w:val="24"/>
        </w:rPr>
        <w:t>在行为主体和争议点位基本确定后，如损坏原因、修复方案、当前安全状态或报告可比性仍涉及必要的专门问题，再依法委托鉴定。</w:t>
      </w:r>
    </w:p>
    <w:p>
      <w:pPr>
        <w:spacing w:line="360" w:lineRule="auto" w:after="100"/>
        <w:ind w:firstLine="420"/>
      </w:pPr>
      <w:r>
        <w:rPr>
          <w:rFonts w:ascii="宋体" w:hAnsi="宋体" w:eastAsia="宋体"/>
          <w:sz w:val="24"/>
        </w:rPr>
        <w:t>每项申请将分别说明证据名称、持有人、待证事实、不能自行取得的原因，并在法定举证期限内提出。原告不以调查申请代替其初步举证责任。</w:t>
      </w:r>
    </w:p>
    <w:p>
      <w:pPr>
        <w:pStyle w:val="Heading1"/>
      </w:pPr>
      <w:r>
        <w:t>十七、人民法院可直接裁判的内容与适宜调解的内容应当区分</w:t>
      </w:r>
    </w:p>
    <w:p>
      <w:pPr>
        <w:spacing w:line="360" w:lineRule="auto" w:after="100"/>
        <w:ind w:firstLine="420"/>
      </w:pPr>
      <w:r>
        <w:rPr>
          <w:rFonts w:ascii="宋体" w:hAnsi="宋体" w:eastAsia="宋体"/>
          <w:sz w:val="24"/>
        </w:rPr>
        <w:t>在证据达到证明标准且诉讼请求已经依法明确后，人民法院可直接裁判：停止在缺乏合法权限来源、超出权限对象或范围，或者虽有相应权限来源但未履行必要程序的情况下，进入东301并实施侵入性操作；修复科棚直接组织、指示或者其工作人员执行任务造成的具体孔洞和剔凿；清除能够明确归责的特定废料；修复能够明确归责的特定排水管段；拆移由责任主体控制且超过安全必要范围的具体障碍，或者提供安全替代通道。依法实施的紧急避险，以及具有合法权限并依法履行必要程序的安全鉴定或者治理，不在停止行为请求范围内。</w:t>
      </w:r>
    </w:p>
    <w:p>
      <w:pPr>
        <w:spacing w:line="360" w:lineRule="auto" w:after="100"/>
        <w:ind w:firstLine="420"/>
      </w:pPr>
      <w:r>
        <w:rPr>
          <w:rFonts w:ascii="宋体" w:hAnsi="宋体" w:eastAsia="宋体"/>
          <w:sz w:val="24"/>
        </w:rPr>
        <w:t>更适合由各方自愿调解的内容包括：由实际实施主体形成楠木厅12号“一屋一策”；整栋修缮加固、复核和安全管理系统销号；依法纳入城市更新并形成项目实施方案；在专业论证、业主决策及历史保护、规划、建设审批完成后实施改建或原拆原建；自愿现金收购、住宅或商业物业置换、现金与物业组合。</w:t>
      </w:r>
    </w:p>
    <w:p>
      <w:pPr>
        <w:spacing w:line="360" w:lineRule="auto" w:after="100"/>
        <w:ind w:firstLine="420"/>
      </w:pPr>
      <w:r>
        <w:rPr>
          <w:rFonts w:ascii="宋体" w:hAnsi="宋体" w:eastAsia="宋体"/>
          <w:sz w:val="24"/>
        </w:rPr>
        <w:t>调解协议应明确法人主体、项目清单、点位、期限、费用、审批申请义务、阶段成果、验收机构、临时安置、审批未通过时的替代方案和违约责任，不使用“积极推进”“争取实施”等无法执行的表述。</w:t>
      </w:r>
    </w:p>
    <w:p>
      <w:pPr>
        <w:pStyle w:val="Heading1"/>
      </w:pPr>
      <w:r>
        <w:t>十八、结论</w:t>
      </w:r>
    </w:p>
    <w:p>
      <w:pPr>
        <w:spacing w:line="360" w:lineRule="auto" w:after="100"/>
        <w:ind w:firstLine="420"/>
      </w:pPr>
      <w:r>
        <w:rPr>
          <w:rFonts w:ascii="宋体" w:hAnsi="宋体" w:eastAsia="宋体"/>
          <w:sz w:val="24"/>
        </w:rPr>
        <w:t>科棚就原告明确主张的2026年入户、侵入性检测及其法律后果，与本案诉争法律关系具有程序上的直接关联，具有本案被告主体适格性；该判断不预断原告对具体行为和实体责任已经完成证明。原告承担对科棚参与行为的初步举证责任；科棚如承认参与但主张具有鉴定、委托、管理或紧急安全权限，应对其抗辩所依据的权源、范围和履行过程提交证据。</w:t>
      </w:r>
    </w:p>
    <w:p>
      <w:pPr>
        <w:spacing w:line="360" w:lineRule="auto" w:after="100"/>
        <w:ind w:firstLine="420"/>
      </w:pPr>
      <w:r>
        <w:rPr>
          <w:rFonts w:ascii="宋体" w:hAnsi="宋体" w:eastAsia="宋体"/>
          <w:sz w:val="24"/>
        </w:rPr>
        <w:t>科棚如直接组织、指示相关行为，或其工作人员在执行工作任务过程中造成具体损坏，应依法在相应范围内承担责任；如操作由独立承揽人实施，则应依承揽责任规则分别审查。诉后垃圾清运协调如经核实，只能作为实际介入和协调行为的相关证据，不构成对全部主张的责任自认。</w:t>
      </w:r>
    </w:p>
    <w:p>
      <w:pPr>
        <w:spacing w:line="360" w:lineRule="auto" w:after="100"/>
        <w:ind w:firstLine="420"/>
      </w:pPr>
      <w:r>
        <w:rPr>
          <w:rFonts w:ascii="宋体" w:hAnsi="宋体" w:eastAsia="宋体"/>
          <w:sz w:val="24"/>
        </w:rPr>
        <w:t>现有证据尚不足以直接将建筑废料、排水、围挡、整栋修缮加固和安全使用结果归责科棚。原告请求人民法院先行调查、责令提交书证、现场勘验，并允许原告在查明行为主体和责任范围后依法明确、变更诉讼请求。对证据能够证明的科棚直接行为和具体损坏，请依法判令停止侵害、排除妨害并采取明确的修复措施。</w:t>
      </w:r>
    </w:p>
    <w:p>
      <w:pPr>
        <w:spacing w:line="360" w:lineRule="auto" w:after="100"/>
        <w:ind w:firstLine="420"/>
      </w:pPr>
      <w:r>
        <w:rPr>
          <w:rFonts w:ascii="宋体" w:hAnsi="宋体" w:eastAsia="宋体"/>
          <w:sz w:val="24"/>
        </w:rPr>
        <w:t>长沙2026年城市更新政策说明危险住房治理、问题闭环、潮宗街保护修缮及多元更新路径已经形成现实制度背景，但不直接创设对科棚的城市更新、原拆原建或收购义务。原告愿在人民法院主持下，与开福棚改投、科棚及其他必要主体就基础恢复、修缮加固复核、“一屋一策”或者自愿产权方案依法协商。</w:t>
      </w:r>
    </w:p>
    <w:p>
      <w:pPr>
        <w:spacing w:line="360" w:lineRule="auto" w:after="100"/>
      </w:pPr>
      <w:r>
        <w:rPr>
          <w:rFonts w:ascii="宋体" w:hAnsi="宋体" w:eastAsia="宋体"/>
          <w:sz w:val="24"/>
        </w:rPr>
        <w:t>此致 长沙市开福区人民法院</w:t>
      </w:r>
    </w:p>
    <w:p>
      <w:pPr>
        <w:spacing w:line="360" w:lineRule="auto" w:after="100"/>
      </w:pPr>
      <w:r>
        <w:rPr>
          <w:rFonts w:ascii="宋体" w:hAnsi="宋体" w:eastAsia="宋体"/>
          <w:sz w:val="24"/>
        </w:rPr>
        <w:t>原告委托诉讼代理人：_______________ 日期：_______年____月____日</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新版代理意见_长沙城市更新政策综合重构版_FINAL</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