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政策法源核验与本案影响专题分析</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spacing w:line="360" w:lineRule="auto" w:after="100"/>
      </w:pPr>
      <w:r>
        <w:rPr>
          <w:rFonts w:ascii="宋体" w:hAnsi="宋体" w:eastAsia="宋体"/>
          <w:sz w:val="24"/>
        </w:rPr>
        <w:t>核验基准日：2026年8月14日 研究对象：楠木厅巷12号东301房及所在楼栋 核心问题：长沙最新城市更新政策能否提供比抽象“恢复原状”更现实的治理框架，而不把民事排除妨害案件错误转化为要求法院实施城市更新项目的案件</w:t>
      </w:r>
    </w:p>
    <w:p>
      <w:pPr>
        <w:pStyle w:val="Heading1"/>
      </w:pPr>
      <w:r>
        <w:t>一、核心结论</w:t>
      </w:r>
    </w:p>
    <w:p>
      <w:pPr>
        <w:spacing w:line="360" w:lineRule="auto" w:after="100"/>
        <w:ind w:firstLine="420"/>
      </w:pPr>
      <w:r>
        <w:rPr>
          <w:rFonts w:ascii="宋体" w:hAnsi="宋体" w:eastAsia="宋体"/>
          <w:sz w:val="24"/>
        </w:rPr>
        <w:t>答案是肯定的，但作用范围必须被准确限定。人民法院可以依据民法和已经查明的事实，判令具体责任主体停止无合法权限的侵入、清除可归责废料、修复具体损坏、恢复特定排水和通行功能，并在专业因果关系成立时恢复相应正常、安全使用状态。城市更新政策则用于说明危险房屋并非只能围挡，鉴定之后存在维修加固、复核销号、自主更新、依法原拆原建及市场化产权整合等路径；用于查明楠木厅12号的“一房/一屋一策”、项目入库和责任主体；用于设计综合调解。</w:t>
      </w:r>
    </w:p>
    <w:p>
      <w:pPr>
        <w:spacing w:line="360" w:lineRule="auto" w:after="100"/>
        <w:ind w:firstLine="420"/>
      </w:pPr>
      <w:r>
        <w:rPr>
          <w:rFonts w:ascii="宋体" w:hAnsi="宋体" w:eastAsia="宋体"/>
          <w:sz w:val="24"/>
        </w:rPr>
        <w:t>政策不能直接证明科棚是责任主体，不能替代侵权或物权请求权要件，也不能使原告当然取得要求科棚原拆原建、收购房屋或实施城市更新项目的民事请求权。</w:t>
      </w:r>
    </w:p>
    <w:p>
      <w:pPr>
        <w:pStyle w:val="Heading1"/>
      </w:pPr>
      <w:r>
        <w:t>二、文件原文核验</w:t>
      </w:r>
    </w:p>
    <w:p>
      <w:pPr>
        <w:pStyle w:val="Heading2"/>
      </w:pPr>
      <w:r>
        <w:t>1. 核心政策文件</w:t>
      </w:r>
    </w:p>
    <w:tbl>
      <w:tblPr>
        <w:tblW w:type="auto" w:w="0"/>
        <w:jc w:val="center"/>
        <w:tblLayout w:type="autofit"/>
        <w:tblLook w:firstColumn="1" w:firstRow="1" w:lastColumn="0" w:lastRow="0" w:noHBand="0" w:noVBand="1" w:val="04A0"/>
      </w:tblPr>
      <w:tblGrid>
        <w:gridCol w:w="4479"/>
        <w:gridCol w:w="4479"/>
      </w:tblGrid>
      <w:tr>
        <w:trPr>
          <w:tblHeader/>
        </w:trPr>
        <w:tc>
          <w:tcPr>
            <w:tcW w:type="dxa" w:w="447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项目</w:t>
            </w:r>
          </w:p>
        </w:tc>
        <w:tc>
          <w:tcPr>
            <w:tcW w:type="dxa" w:w="447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核验结果</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文件名称</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《长沙市全面推进城市更新行动方案（2026—2030年）》</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文号</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长政办发〔2026〕6号</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统一登记号</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CSCR—2026—01003</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印发机关</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长沙市人民政府办公室</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印发日期</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2026年3月26日</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官方网页发布日期</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2026年3月30日</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实施日期</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2026年5月1日</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有效期限</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至2030年12月31日</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效力类别</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B类：规范性/政策文件，不能等同法律、行政法规或民事请求权条款</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官方原文</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https://rjhj.changsha.gov.cn/xxgk/xxgkml_46104/lzyj/gfxwj_141104/202604/t20260401_12350336.html</w:t>
            </w:r>
          </w:p>
        </w:tc>
      </w:tr>
    </w:tbl>
    <w:p>
      <w:pPr>
        <w:spacing w:after="20"/>
      </w:pPr>
    </w:p>
    <w:p>
      <w:pPr>
        <w:spacing w:line="360" w:lineRule="auto" w:after="100"/>
        <w:ind w:firstLine="420"/>
      </w:pPr>
      <w:r>
        <w:rPr>
          <w:rFonts w:ascii="宋体" w:hAnsi="宋体" w:eastAsia="宋体"/>
          <w:sz w:val="24"/>
        </w:rPr>
        <w:t>用户提供的文号、印发日、施行日和有效期均与官方原文一致。</w:t>
      </w:r>
    </w:p>
    <w:p>
      <w:pPr>
        <w:pStyle w:val="Heading2"/>
      </w:pPr>
      <w:r>
        <w:t>2. 长沙危旧房现行配套文件</w:t>
      </w:r>
    </w:p>
    <w:p>
      <w:pPr>
        <w:spacing w:line="360" w:lineRule="auto" w:after="100"/>
        <w:ind w:firstLine="420"/>
      </w:pPr>
      <w:r>
        <w:rPr>
          <w:rFonts w:ascii="宋体" w:hAnsi="宋体" w:eastAsia="宋体"/>
          <w:sz w:val="24"/>
        </w:rPr>
        <w:t>官方准确名称为《长沙市人民政府办公厅关于进一步加快推进城镇危旧房屋改造工作的实施意见》，文号长政办发〔2023〕21号，统一登记号CSCR—2023—01019，印发日期2023年6月15日，公布日期2023年6月25日，2023年7月1日起施行，有效至2028年6月30日，属B类政策文件。官方原文：https://www.changsha.gov.cn/zfxxgk/zfwjk/szfbgt/202306/t20230625_11143868.html。</w:t>
      </w:r>
    </w:p>
    <w:p>
      <w:pPr>
        <w:spacing w:line="360" w:lineRule="auto" w:after="100"/>
        <w:ind w:firstLine="420"/>
      </w:pPr>
      <w:r>
        <w:rPr>
          <w:rFonts w:ascii="宋体" w:hAnsi="宋体" w:eastAsia="宋体"/>
          <w:sz w:val="24"/>
        </w:rPr>
        <w:t>该文件明确：产权所有人承担第一主体责任；C、D级危旧房可通过征收、维修加固、拆除重建分类处置；零星危旧房在符合规划前提下可按“原址、原面积、原高度、原使用性质”拆除重建；异产毗连房屋由区县政府牵头协调产权人签署协议，明确实施主体和费用；历史文化街区保护范围内的单栋房屋优先修缮，不得擅自迁移、拆除；项目须形成实施方案、办理审批、竣工验收并在安全管理系统销号。</w:t>
      </w:r>
    </w:p>
    <w:p>
      <w:pPr>
        <w:pStyle w:val="Heading1"/>
      </w:pPr>
      <w:r>
        <w:t>三、政策关键原文及法律意义</w:t>
      </w:r>
    </w:p>
    <w:p>
      <w:pPr>
        <w:pStyle w:val="Heading2"/>
      </w:pPr>
      <w:r>
        <w:t>（一）危险住房改造、房屋体检和闭环处置</w:t>
      </w:r>
    </w:p>
    <w:p>
      <w:pPr>
        <w:spacing w:line="360" w:lineRule="auto" w:after="100"/>
        <w:ind w:firstLine="420"/>
      </w:pPr>
      <w:r>
        <w:rPr>
          <w:rFonts w:ascii="宋体" w:hAnsi="宋体" w:eastAsia="宋体"/>
          <w:sz w:val="24"/>
        </w:rPr>
        <w:t>核心方案原文：</w:t>
      </w:r>
    </w:p>
    <w:p>
      <w:pPr>
        <w:spacing w:line="360" w:lineRule="auto" w:after="120" w:before="80"/>
        <w:ind w:left="397" w:right="170" w:firstLine="0"/>
        <w:shd w:fill="EDF2F7"/>
      </w:pPr>
      <w:r>
        <w:rPr>
          <w:rFonts w:ascii="宋体" w:hAnsi="宋体" w:eastAsia="宋体"/>
          <w:color w:val="17365D"/>
          <w:sz w:val="24"/>
        </w:rPr>
        <w:t>“健全房屋体检与安全防控体系，稳妥推进危险住房和国有企业事业单位非成套住房改造。支持老旧住房自主更新、原拆原建。”</w:t>
      </w:r>
    </w:p>
    <w:p>
      <w:pPr>
        <w:spacing w:line="360" w:lineRule="auto" w:after="120" w:before="80"/>
        <w:ind w:left="397" w:right="170" w:firstLine="0"/>
        <w:shd w:fill="EDF2F7"/>
      </w:pPr>
      <w:r>
        <w:rPr>
          <w:rFonts w:ascii="宋体" w:hAnsi="宋体" w:eastAsia="宋体"/>
          <w:color w:val="17365D"/>
          <w:sz w:val="24"/>
        </w:rPr>
        <w:t>“一体化推进城市体检和城市更新工作，将城市体检作为城市更新专项规划、片区策划编制或修改、项目实施的重要依据。完善体检数据精准、成果应用高效、问题闭环处置、机制保障长效的城市体检工作体系。”</w:t>
      </w:r>
    </w:p>
    <w:p>
      <w:pPr>
        <w:spacing w:line="360" w:lineRule="auto" w:after="100"/>
        <w:ind w:firstLine="420"/>
      </w:pPr>
      <w:r>
        <w:rPr>
          <w:rFonts w:ascii="宋体" w:hAnsi="宋体" w:eastAsia="宋体"/>
          <w:sz w:val="24"/>
        </w:rPr>
        <w:t>法律意义：合法鉴定确认风险后，行政治理逻辑应继续进入风险防护、治理方案、实施、验收复核和问题销号。该逻辑可以用于要求相关主体说明“鉴定后做了什么”，也可以说明临时围挡并非当然的永久治理终点。但“问题闭环”是政策管理要求，不能在没有具体义务来源时直接转换为对科棚的民事给付义务。</w:t>
      </w:r>
    </w:p>
    <w:p>
      <w:pPr>
        <w:pStyle w:val="Heading2"/>
      </w:pPr>
      <w:r>
        <w:t>（二）老旧住房自主更新与原拆原建</w:t>
      </w:r>
    </w:p>
    <w:p>
      <w:pPr>
        <w:spacing w:line="360" w:lineRule="auto" w:after="100"/>
        <w:ind w:firstLine="420"/>
      </w:pPr>
      <w:r>
        <w:rPr>
          <w:rFonts w:ascii="宋体" w:hAnsi="宋体" w:eastAsia="宋体"/>
          <w:sz w:val="24"/>
        </w:rPr>
        <w:t>“支持”表明长沙在政策上允许符合条件的自主更新和原拆原建，不表明单一产权人能够跳过其他业主决策、历史文化保护、国土空间规划、施工许可和质量验收。长政办发〔2023〕21号进一步说明，原拆原建是C、D级零星危旧房的可选路径之一，且以产权人申请、纳入计划、符合规划、确定实施主体、形成实施方案和办理审批为前提。</w:t>
      </w:r>
    </w:p>
    <w:p>
      <w:pPr>
        <w:spacing w:line="360" w:lineRule="auto" w:after="100"/>
        <w:ind w:firstLine="420"/>
      </w:pPr>
      <w:r>
        <w:rPr>
          <w:rFonts w:ascii="宋体" w:hAnsi="宋体" w:eastAsia="宋体"/>
          <w:sz w:val="24"/>
        </w:rPr>
        <w:t>结论：原拆原建不是原告可以直接要求科棚实施的当然法定义务。法院不宜直接判定唯一工程路径；各方可在专业论证、业主决策和审批条件明确后写入自愿调解协议。</w:t>
      </w:r>
    </w:p>
    <w:p>
      <w:pPr>
        <w:pStyle w:val="Heading2"/>
      </w:pPr>
      <w:r>
        <w:t>（三）潮宗街、老城保护与“一屋一策”</w:t>
      </w:r>
    </w:p>
    <w:p>
      <w:pPr>
        <w:spacing w:line="360" w:lineRule="auto" w:after="100"/>
        <w:ind w:firstLine="420"/>
      </w:pPr>
      <w:r>
        <w:rPr>
          <w:rFonts w:ascii="宋体" w:hAnsi="宋体" w:eastAsia="宋体"/>
          <w:sz w:val="24"/>
        </w:rPr>
        <w:t>核心方案原文：</w:t>
      </w:r>
    </w:p>
    <w:p>
      <w:pPr>
        <w:spacing w:line="360" w:lineRule="auto" w:after="120" w:before="80"/>
        <w:ind w:left="397" w:right="170" w:firstLine="0"/>
        <w:shd w:fill="EDF2F7"/>
      </w:pPr>
      <w:r>
        <w:rPr>
          <w:rFonts w:ascii="宋体" w:hAnsi="宋体" w:eastAsia="宋体"/>
          <w:color w:val="17365D"/>
          <w:sz w:val="24"/>
        </w:rPr>
        <w:t>“持续推进太平街、西文庙坪、潮宗街等历史文化街区，以及文物建筑、历史建筑的保护修缮与活化利用。”</w:t>
      </w:r>
    </w:p>
    <w:p>
      <w:pPr>
        <w:spacing w:line="360" w:lineRule="auto" w:after="120" w:before="80"/>
        <w:ind w:left="397" w:right="170" w:firstLine="0"/>
        <w:shd w:fill="EDF2F7"/>
      </w:pPr>
      <w:r>
        <w:rPr>
          <w:rFonts w:ascii="宋体" w:hAnsi="宋体" w:eastAsia="宋体"/>
          <w:color w:val="17365D"/>
          <w:sz w:val="24"/>
        </w:rPr>
        <w:t>“落实‘老城不能再拆’要求，划定最严格保护范围。加强老旧房屋拆除管理，除依法依规实行‘一屋一策’改造维护和使用外，严禁以危险住房名义违法违规拆除改造历史文化街区、传统村落、文物、历史建筑等。”</w:t>
      </w:r>
    </w:p>
    <w:p>
      <w:pPr>
        <w:spacing w:line="360" w:lineRule="auto" w:after="100"/>
        <w:ind w:firstLine="420"/>
      </w:pPr>
      <w:r>
        <w:rPr>
          <w:rFonts w:ascii="宋体" w:hAnsi="宋体" w:eastAsia="宋体"/>
          <w:sz w:val="24"/>
        </w:rPr>
        <w:t>法律意义：潮宗街原拆原建的限制比一般老旧住房更严格。“一屋一策”首先是保护、管理和项目实施方法，不是法院可直接命科棚履行的抽象民事责任。还须查明楠木厅12号是否处于历史文化街区范围、是否列为历史建筑或传统风貌建筑，以及具体保护等级。</w:t>
      </w:r>
    </w:p>
    <w:p>
      <w:pPr>
        <w:spacing w:line="360" w:lineRule="auto" w:after="100"/>
        <w:ind w:firstLine="420"/>
      </w:pPr>
      <w:r>
        <w:rPr>
          <w:rFonts w:ascii="宋体" w:hAnsi="宋体" w:eastAsia="宋体"/>
          <w:sz w:val="24"/>
        </w:rPr>
        <w:t>2022年同宇鉴定报告附件所涉2023年整治材料另有“一房一策”要求，并要求明确责任人、整治方式、资金和期限。这是比一般政策更接近本楼治理的调查线索，但仍应取得完整交办文件和针对12号的具体方案，不能把“一房一策”与2026年历史保护“一屋一策”混同，更不能推定制定主体必然是科棚。</w:t>
      </w:r>
    </w:p>
    <w:p>
      <w:pPr>
        <w:pStyle w:val="Heading2"/>
      </w:pPr>
      <w:r>
        <w:t>（四）存量房屋收购和市场化运作</w:t>
      </w:r>
    </w:p>
    <w:p>
      <w:pPr>
        <w:spacing w:line="360" w:lineRule="auto" w:after="100"/>
        <w:ind w:firstLine="420"/>
      </w:pPr>
      <w:r>
        <w:rPr>
          <w:rFonts w:ascii="宋体" w:hAnsi="宋体" w:eastAsia="宋体"/>
          <w:sz w:val="24"/>
        </w:rPr>
        <w:t>核心方案原文：</w:t>
      </w:r>
    </w:p>
    <w:p>
      <w:pPr>
        <w:spacing w:line="360" w:lineRule="auto" w:after="120" w:before="80"/>
        <w:ind w:left="397" w:right="170" w:firstLine="0"/>
        <w:shd w:fill="EDF2F7"/>
      </w:pPr>
      <w:r>
        <w:rPr>
          <w:rFonts w:ascii="宋体" w:hAnsi="宋体" w:eastAsia="宋体"/>
          <w:color w:val="17365D"/>
          <w:sz w:val="24"/>
        </w:rPr>
        <w:t>“优先将隐患突出、诉求强烈、条件成熟的集中连片区域划定为城市更新重点片区。鼓励成片收购存量房屋进行片区更新。坚持市场化运作方式和运营前置。”</w:t>
      </w:r>
    </w:p>
    <w:p>
      <w:pPr>
        <w:spacing w:line="360" w:lineRule="auto" w:after="100"/>
        <w:ind w:firstLine="420"/>
      </w:pPr>
      <w:r>
        <w:rPr>
          <w:rFonts w:ascii="宋体" w:hAnsi="宋体" w:eastAsia="宋体"/>
          <w:sz w:val="24"/>
        </w:rPr>
        <w:t>法律意义：产权收购属于当前长沙认可的市场化更新路径，不等于行政征收，不产生强制缔约或强制收购义务。它可以成为法官询问的一揽子调解方案，包括现金、产权置换、商业物业或组合履行；价格、房源、授权和付款必须自愿合意。</w:t>
      </w:r>
    </w:p>
    <w:p>
      <w:pPr>
        <w:pStyle w:val="Heading2"/>
      </w:pPr>
      <w:r>
        <w:t>（五）项目实施体系和主体</w:t>
      </w:r>
    </w:p>
    <w:p>
      <w:pPr>
        <w:spacing w:line="360" w:lineRule="auto" w:after="100"/>
        <w:ind w:firstLine="420"/>
      </w:pPr>
      <w:r>
        <w:rPr>
          <w:rFonts w:ascii="宋体" w:hAnsi="宋体" w:eastAsia="宋体"/>
          <w:sz w:val="24"/>
        </w:rPr>
        <w:t>核心方案建立“专项规划—片区策划—项目实施方案”三级体系：城市更新专项规划划定片区并分类建立项目库；区县组织片区策划；更新实施主体根据已审定规划和策划编制项目实施方案，经区县政府审定后实施。审批流程可以依法优化，但并未取消。</w:t>
      </w:r>
    </w:p>
    <w:p>
      <w:pPr>
        <w:spacing w:line="360" w:lineRule="auto" w:after="100"/>
        <w:ind w:firstLine="420"/>
      </w:pPr>
      <w:r>
        <w:rPr>
          <w:rFonts w:ascii="宋体" w:hAnsi="宋体" w:eastAsia="宋体"/>
          <w:sz w:val="24"/>
        </w:rPr>
        <w:t>法律意义：法院判决宜确定民事结果，不宜替代区县政府、规划和建设主管部门选择实施主体、批准项目或决定原拆原建。调解中可以约定某主体按期编制、申报、补正、实施经批准的方案，并设置审批未通过时的替代修缮方案。</w:t>
      </w:r>
    </w:p>
    <w:p>
      <w:pPr>
        <w:pStyle w:val="Heading1"/>
      </w:pPr>
      <w:r>
        <w:t>四、A/B/C效力分类表</w:t>
      </w:r>
    </w:p>
    <w:tbl>
      <w:tblPr>
        <w:tblW w:type="auto" w:w="0"/>
        <w:jc w:val="center"/>
        <w:tblLayout w:type="autofit"/>
        <w:tblLook w:firstColumn="1" w:firstRow="1" w:lastColumn="0" w:lastRow="0" w:noHBand="0" w:noVBand="1" w:val="04A0"/>
      </w:tblPr>
      <w:tblGrid>
        <w:gridCol w:w="2239"/>
        <w:gridCol w:w="2239"/>
        <w:gridCol w:w="2239"/>
        <w:gridCol w:w="2239"/>
      </w:tblGrid>
      <w:tr>
        <w:trPr>
          <w:tblHeader/>
        </w:trPr>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类别</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文件/材料</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对本案用途</w:t>
            </w:r>
          </w:p>
        </w:tc>
        <w:tc>
          <w:tcPr>
            <w:tcW w:type="dxa" w:w="223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不得作何使用</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A</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《民法典》</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排除妨害、修理、恢复原状、侵权、区分所有、相邻关系、代理和用人单位责任</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不得脱离具体请求权要件概括归责</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A</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《民事诉讼法》及解释、民事证据规定</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举证、调查取证、书证提出、勘验、鉴定、共有共同诉讼、调解</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不得以调查申请代替原告初步举证</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A</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《长沙市房屋安全管理条例》</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危险房屋责任、防护治理、历史街区处理</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不得扩大为科棚法定管理身份</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A</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《城市危险房屋管理规定》</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所有人及时解危、按鉴定建议加固修缮</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不得推定C级必须拆或只能围挡</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长政办发〔2026〕6号</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当前更新路径、潮宗街保护、体检闭环、调解与调查线索</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不得直接创设对科棚的原拆原建、收购或项目义务</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长政办发〔2023〕21号</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C/D分类治理、四原重建、程序、奖补、历史街区优先修缮</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不得把政策奖补视为必然取得</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湘政办发〔2025〕49号</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湖南持续推进城市更新的省级政策背景</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不得替代长沙具体项目文件</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B（将来）</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《长沙市历史文化街区保护管理办法》长政办发〔2026〕19号</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2026年9月10日后历史街区治理规范；此前仅作前瞻背景</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在施行日前不得作为现行责任依据</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《长沙市城市更新专项规划（2026—2030年）》征求意见稿</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“无体检不更新”、C/D风险链及片区项目调查线索</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尚非定稿，不得作为现行项目或法定责任证明</w:t>
            </w:r>
          </w:p>
        </w:tc>
      </w:tr>
      <w:tr>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湖南住建官方湘农桥、潮宗街案例介绍</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说明“四原”和“国企投资改造、民企专业运营、街道牵头管理”实践模式</w:t>
            </w:r>
          </w:p>
        </w:tc>
        <w:tc>
          <w:tcPr>
            <w:tcW w:type="dxa" w:w="223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模式介绍不证明科棚、开福棚改投在楠木厅12号的具体合同角色</w:t>
            </w:r>
          </w:p>
        </w:tc>
      </w:tr>
      <w:tr>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2026潮宗街片区结构安全鉴定采购</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采购人、总面积、成果和整改建议要求</w:t>
            </w:r>
          </w:p>
        </w:tc>
        <w:tc>
          <w:tcPr>
            <w:tcW w:type="dxa" w:w="223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无地址清单，不证明楠木厅12号已经包含</w:t>
            </w:r>
          </w:p>
        </w:tc>
      </w:tr>
    </w:tbl>
    <w:p>
      <w:pPr>
        <w:spacing w:after="20"/>
      </w:pPr>
    </w:p>
    <w:p>
      <w:pPr>
        <w:pStyle w:val="Heading1"/>
      </w:pPr>
      <w:r>
        <w:t>五、C级房屋在现行政策下意味着什么</w:t>
      </w:r>
    </w:p>
    <w:tbl>
      <w:tblPr>
        <w:tblW w:type="auto" w:w="0"/>
        <w:jc w:val="center"/>
        <w:tblLayout w:type="autofit"/>
        <w:tblLook w:firstColumn="1" w:firstRow="1" w:lastColumn="0" w:lastRow="0" w:noHBand="0" w:noVBand="1" w:val="04A0"/>
      </w:tblPr>
      <w:tblGrid>
        <w:gridCol w:w="4479"/>
        <w:gridCol w:w="4479"/>
      </w:tblGrid>
      <w:tr>
        <w:trPr>
          <w:tblHeader/>
        </w:trPr>
        <w:tc>
          <w:tcPr>
            <w:tcW w:type="dxa" w:w="447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问题</w:t>
            </w:r>
          </w:p>
        </w:tc>
        <w:tc>
          <w:tcPr>
            <w:tcW w:type="dxa" w:w="447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结论</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C级是否意味着只能围挡</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否。围挡、警示、限制使用是可能的临时防护，仍须根据鉴定建议和具体条件确定修缮、加固或其他治理。</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C级是否意味着不能修</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否。长沙政策明确把维修加固列为C、D级处置路径，历史街区还强调优先修缮。</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C级是否意味着必须拆</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否。拆除重建只是可选路径，并受业主、规划、保护和建设程序制约。</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C级是否意味着需要治理</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是。房屋所有人或依法确定的安全责任人应及时治理、采取防护；具体治理责任人和费用仍须依法、依项目文件确定。</w:t>
            </w:r>
          </w:p>
        </w:tc>
      </w:tr>
    </w:tbl>
    <w:p>
      <w:pPr>
        <w:spacing w:after="20"/>
      </w:pPr>
    </w:p>
    <w:p>
      <w:pPr>
        <w:spacing w:line="360" w:lineRule="auto" w:after="100"/>
        <w:ind w:firstLine="420"/>
      </w:pPr>
      <w:r>
        <w:rPr>
          <w:rFonts w:ascii="宋体" w:hAnsi="宋体" w:eastAsia="宋体"/>
          <w:sz w:val="24"/>
        </w:rPr>
        <w:t>对本案最有力且合法的发问是：若相关主体以房屋安全为由组织鉴定，鉴定完成后形成了何种报告、风险清单和治理建议；谁收到；谁负责警示、防护、修复、加固、复核和销号；是否存在无限期围挡而无后续治理。该发问可用于代理意见的职责和事实审查，也可用于调解，但不能省略证明科棚具体义务的环节。</w:t>
      </w:r>
    </w:p>
    <w:p>
      <w:pPr>
        <w:pStyle w:val="Heading1"/>
      </w:pPr>
      <w:r>
        <w:t>六、B级与C级历史材料的技术审查</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2022年同宇报告</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2023年湖南湘力报告</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日期</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检测2022-07-03；报告2022-09-05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2023年，完整日期待报告原件</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委托人</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长沙市开福棚改投资有限责任公司</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待原件；生效裁判记载与加固后鉴定有关</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鉴定机构</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湖南同宇检测有限公司</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湖南湘力检测有限公司（以原件核实准确名称）</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标准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GB 50292—2015等，详见报告</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待原件</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对象</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潮宗街片区新编227号楼，五层砖混/砌体楼栋</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生效裁判仅转述“该工程现阶段主体结构安全性”</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范围</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地基基础、上部承重结构、围护系统等</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待原件，现有信息可能仅为主体结构</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评级体系</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地基基础子单元Bu级、上部承重结构子单元Cu级、围护系统承重部分子单元Cu级，鉴定单元安全性Csu级</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裁判转述“主体结构安全性鉴定等级为B级”；完整技术符号待原件</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主要问题</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长期空置、门窗多已拆、电气拆除损伤墙体抹灰/砌体等</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待原件</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建议</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由有资质设计和施工单位进行加固设计、施工</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待原件</w:t>
            </w:r>
          </w:p>
        </w:tc>
      </w:tr>
    </w:tbl>
    <w:p>
      <w:pPr>
        <w:spacing w:after="20"/>
      </w:pPr>
    </w:p>
    <w:p>
      <w:pPr>
        <w:spacing w:line="360" w:lineRule="auto" w:after="100"/>
        <w:ind w:firstLine="420"/>
      </w:pPr>
      <w:r>
        <w:rPr>
          <w:rFonts w:ascii="宋体" w:hAnsi="宋体" w:eastAsia="宋体"/>
          <w:sz w:val="24"/>
        </w:rPr>
        <w:t>现有顺序是2022年鉴定单元Csu级→开福棚改投组织加固→2023年裁判转述主体结构B级，不是“早期B级→后来C级”。两份报告对象、范围和体系尚不能确认一致，严禁强行写成“从B降到C”。</w:t>
      </w:r>
    </w:p>
    <w:p>
      <w:pPr>
        <w:spacing w:line="360" w:lineRule="auto" w:after="100"/>
        <w:ind w:firstLine="420"/>
      </w:pPr>
      <w:r>
        <w:rPr>
          <w:rFonts w:ascii="宋体" w:hAnsi="宋体" w:eastAsia="宋体"/>
          <w:sz w:val="24"/>
        </w:rPr>
        <w:t>当前不宜把“不低于此前B级或Bsu级”直接写入判决。更好的标准是：对具体修复项目，以现行强制性标准、设计文件、功能性试验和专业复核合格为准。调解中只有在专业机构确认报告可比后，才可把2023年可比历史安全状态作为辅助验收条件。</w:t>
      </w:r>
    </w:p>
    <w:p>
      <w:pPr>
        <w:pStyle w:val="Heading1"/>
      </w:pPr>
      <w:r>
        <w:t>七、楠木厅12号是否进入潮宗街更新治理</w:t>
      </w:r>
    </w:p>
    <w:p>
      <w:pPr>
        <w:pStyle w:val="Heading2"/>
      </w:pPr>
      <w:r>
        <w:t>已查明</w:t>
      </w:r>
    </w:p>
    <w:p>
      <w:pPr>
        <w:pStyle w:val="ListNumber"/>
        <w:spacing w:line="360" w:lineRule="auto" w:after="100"/>
      </w:pPr>
      <w:r>
        <w:rPr>
          <w:rFonts w:ascii="宋体" w:hAnsi="宋体" w:eastAsia="宋体"/>
          <w:sz w:val="24"/>
        </w:rPr>
        <w:t>2015年棚改批复及生效裁判将楠木厅12号与潮宗街棚改及开福棚改投管理、改造依据相联系。</w:t>
      </w:r>
    </w:p>
    <w:p>
      <w:pPr>
        <w:pStyle w:val="ListNumber"/>
        <w:spacing w:line="360" w:lineRule="auto" w:after="100"/>
      </w:pPr>
      <w:r>
        <w:rPr>
          <w:rFonts w:ascii="宋体" w:hAnsi="宋体" w:eastAsia="宋体"/>
          <w:sz w:val="24"/>
        </w:rPr>
        <w:t>2022年开福棚改投委托对楼栋进行安全鉴定；2023年组织加固并形成主体结构B级结论。</w:t>
      </w:r>
    </w:p>
    <w:p>
      <w:pPr>
        <w:pStyle w:val="ListNumber"/>
        <w:spacing w:line="360" w:lineRule="auto" w:after="100"/>
      </w:pPr>
      <w:r>
        <w:rPr>
          <w:rFonts w:ascii="宋体" w:hAnsi="宋体" w:eastAsia="宋体"/>
          <w:sz w:val="24"/>
        </w:rPr>
        <w:t>2026行动方案点名潮宗街持续保护修缮，但没有逐栋清单。</w:t>
      </w:r>
    </w:p>
    <w:p>
      <w:pPr>
        <w:pStyle w:val="ListNumber"/>
        <w:spacing w:line="360" w:lineRule="auto" w:after="100"/>
      </w:pPr>
      <w:r>
        <w:rPr>
          <w:rFonts w:ascii="宋体" w:hAnsi="宋体" w:eastAsia="宋体"/>
          <w:sz w:val="24"/>
        </w:rPr>
        <w:t>2026潮宗街片区房屋结构安全鉴定采购的采购人为长沙市北城资产经营管理有限公司，采购面积83,764.06平方米，要求出具报告、问题和整改方案；公开采购文件没有可识别的门牌清单。</w:t>
      </w:r>
    </w:p>
    <w:p>
      <w:pPr>
        <w:pStyle w:val="Heading2"/>
      </w:pPr>
      <w:r>
        <w:t>未查明</w:t>
      </w:r>
    </w:p>
    <w:p>
      <w:pPr>
        <w:spacing w:line="360" w:lineRule="auto" w:after="100"/>
        <w:ind w:firstLine="420"/>
      </w:pPr>
      <w:r>
        <w:rPr>
          <w:rFonts w:ascii="宋体" w:hAnsi="宋体" w:eastAsia="宋体"/>
          <w:sz w:val="24"/>
        </w:rPr>
        <w:t>未找到楠木厅12号列入2026—2030城市更新项目库的公开证据；未找到当前片区策划、项目范围图中的12号标注；未找到针对12号的现行“一屋一策”、危旧房治理清单、城市体检问题清单、资金安排或实施方案；未找到因征收终止、产权遗留或收购未完成而暂缓的正式文件。</w:t>
      </w:r>
    </w:p>
    <w:p>
      <w:pPr>
        <w:spacing w:line="360" w:lineRule="auto" w:after="100"/>
        <w:ind w:firstLine="420"/>
      </w:pPr>
      <w:r>
        <w:rPr>
          <w:rFonts w:ascii="宋体" w:hAnsi="宋体" w:eastAsia="宋体"/>
          <w:sz w:val="24"/>
        </w:rPr>
        <w:t>因此不能在“已纳入但未实施”“未纳入”“单列危房”“因产权问题暂缓”四种情形中强行选择。应通过信息公开和法院调查取得项目库、建筑清单、风险清单、闭环记录及未实施说明后再判断。</w:t>
      </w:r>
    </w:p>
    <w:p>
      <w:pPr>
        <w:pStyle w:val="Heading1"/>
      </w:pPr>
      <w:r>
        <w:t>八、科棚与开福棚改投在公开模式中的可能角色</w:t>
      </w:r>
    </w:p>
    <w:p>
      <w:pPr>
        <w:spacing w:line="360" w:lineRule="auto" w:after="100"/>
        <w:ind w:firstLine="420"/>
      </w:pPr>
      <w:r>
        <w:rPr>
          <w:rFonts w:ascii="宋体" w:hAnsi="宋体" w:eastAsia="宋体"/>
          <w:sz w:val="24"/>
        </w:rPr>
        <w:t>湖南省住建厅2026年官方案例介绍对潮宗街概括为“国企投资改造、民企专业运营、街道牵头管理”。这只是C类实践背景。结合生效判决，开福棚改投可能处于国有投资、管理改造或项目组织层面；结合科棚企业经营范围、原告所述鉴定及垃圾协调、公开活动线索，科棚可能处于运营、现场协调或受托事务层面。</w:t>
      </w:r>
    </w:p>
    <w:p>
      <w:pPr>
        <w:spacing w:line="360" w:lineRule="auto" w:after="100"/>
        <w:ind w:firstLine="420"/>
      </w:pPr>
      <w:r>
        <w:rPr>
          <w:rFonts w:ascii="宋体" w:hAnsi="宋体" w:eastAsia="宋体"/>
          <w:sz w:val="24"/>
        </w:rPr>
        <w:t>上述均是调查方向，不是事实认定。必须取得楠木厅12号具体的投资、委托、运营、鉴定、派工和资金文件，才能判断各自角色。开福棚改投与科棚即使存在股权关系，也不等于已经授权；科棚参与运营也不等于承担结构安全和整栋修复责任。</w:t>
      </w:r>
    </w:p>
    <w:p>
      <w:pPr>
        <w:pStyle w:val="Heading1"/>
      </w:pPr>
      <w:r>
        <w:t>九、征收终止后长期不治理</w:t>
      </w:r>
    </w:p>
    <w:p>
      <w:pPr>
        <w:spacing w:line="360" w:lineRule="auto" w:after="100"/>
        <w:ind w:firstLine="420"/>
      </w:pPr>
      <w:r>
        <w:rPr>
          <w:rFonts w:ascii="宋体" w:hAnsi="宋体" w:eastAsia="宋体"/>
          <w:sz w:val="24"/>
        </w:rPr>
        <w:t>征收、收购或产权整合未完成，不会消灭留存产权人的物权。任何主体对其自身造成的孔洞、堵塞或通行障碍，不能仅以“项目尚未完成”拒绝排除。对危险房屋，所有权人、安全责任人、管理改造主体和属地政府还分别可能承担民事、行政或项目职责。</w:t>
      </w:r>
    </w:p>
    <w:p>
      <w:pPr>
        <w:spacing w:line="360" w:lineRule="auto" w:after="100"/>
        <w:ind w:firstLine="420"/>
      </w:pPr>
      <w:r>
        <w:rPr>
          <w:rFonts w:ascii="宋体" w:hAnsi="宋体" w:eastAsia="宋体"/>
          <w:sz w:val="24"/>
        </w:rPr>
        <w:t>但是，“不能长期搁置”的政策合理性与“科棚应承担全部治理”的民事结论之间仍有距离。新政策削弱的是“只鉴定、不说明后续路径”的合理性，而不是自动确定科棚的责任。最有效的诉讼使用方式是要求提交：一房/一屋一策、治理责任人、资金和期限、鉴定后交办、围挡依据、复核销号及未实施原因。</w:t>
      </w:r>
    </w:p>
    <w:p>
      <w:pPr>
        <w:pStyle w:val="Heading1"/>
      </w:pPr>
      <w:r>
        <w:t>十、追加开福棚改投和共有权人</w:t>
      </w:r>
    </w:p>
    <w:p>
      <w:pPr>
        <w:spacing w:line="360" w:lineRule="auto" w:after="100"/>
        <w:ind w:firstLine="420"/>
      </w:pPr>
      <w:r>
        <w:rPr>
          <w:rFonts w:ascii="宋体" w:hAnsi="宋体" w:eastAsia="宋体"/>
          <w:sz w:val="24"/>
        </w:rPr>
        <w:t>如果只审理科棚无合法权限进入东301和其人员直接钻孔，追加开福棚改投必要性为25/100；科棚可独立就直接行为承担责任，前提是证据成立。</w:t>
      </w:r>
    </w:p>
    <w:p>
      <w:pPr>
        <w:spacing w:line="360" w:lineRule="auto" w:after="100"/>
        <w:ind w:firstLine="420"/>
      </w:pPr>
      <w:r>
        <w:rPr>
          <w:rFonts w:ascii="宋体" w:hAnsi="宋体" w:eastAsia="宋体"/>
          <w:sz w:val="24"/>
        </w:rPr>
        <w:t>如果诉请包括建筑废料、共同排水、围挡、整体修缮加固和恢复安全使用，追加开福棚改投必要性为85/100。生效裁判已指向其管理、改造依据，且其可能掌握项目、鉴定、加固和实施资源。建议作为共同被告或至少第三人参加，并由法院根据分列请求判断诉讼地位。</w:t>
      </w:r>
    </w:p>
    <w:p>
      <w:pPr>
        <w:spacing w:line="360" w:lineRule="auto" w:after="100"/>
        <w:ind w:firstLine="420"/>
      </w:pPr>
      <w:r>
        <w:rPr>
          <w:rFonts w:ascii="宋体" w:hAnsi="宋体" w:eastAsia="宋体"/>
          <w:sz w:val="24"/>
        </w:rPr>
        <w:t>对共有部分整体改造，还须核实湖南纽带商贸管理有限公司和其他登记业主。个别业主可以保护其必要通行和共有权益，但整体排水、结构加固、出入口重构或原拆原建可能涉及必要共同诉讼和业主共同决策。</w:t>
      </w:r>
    </w:p>
    <w:p>
      <w:pPr>
        <w:pStyle w:val="Heading1"/>
      </w:pPr>
      <w:r>
        <w:t>十一、诉讼与调解的明确边界</w:t>
      </w:r>
    </w:p>
    <w:p>
      <w:pPr>
        <w:pStyle w:val="Heading2"/>
      </w:pPr>
      <w:r>
        <w:t>法院可以依法直接判决的内容</w:t>
      </w:r>
    </w:p>
    <w:p>
      <w:pPr>
        <w:pStyle w:val="ListBullet"/>
        <w:spacing w:line="360" w:lineRule="auto" w:after="100"/>
      </w:pPr>
      <w:r>
        <w:rPr>
          <w:rFonts w:ascii="宋体" w:hAnsi="宋体" w:eastAsia="宋体"/>
          <w:sz w:val="24"/>
        </w:rPr>
        <w:t>停止无合法权限且未履行必要程序进入原告专有房屋；</w:t>
      </w:r>
    </w:p>
    <w:p>
      <w:pPr>
        <w:pStyle w:val="ListBullet"/>
        <w:spacing w:line="360" w:lineRule="auto" w:after="100"/>
      </w:pPr>
      <w:r>
        <w:rPr>
          <w:rFonts w:ascii="宋体" w:hAnsi="宋体" w:eastAsia="宋体"/>
          <w:sz w:val="24"/>
        </w:rPr>
        <w:t>停止或修复能够证明由责任主体造成的钻孔、剔凿；</w:t>
      </w:r>
    </w:p>
    <w:p>
      <w:pPr>
        <w:pStyle w:val="ListBullet"/>
        <w:spacing w:line="360" w:lineRule="auto" w:after="100"/>
      </w:pPr>
      <w:r>
        <w:rPr>
          <w:rFonts w:ascii="宋体" w:hAnsi="宋体" w:eastAsia="宋体"/>
          <w:sz w:val="24"/>
        </w:rPr>
        <w:t>清除能够明确归责的特定废料；</w:t>
      </w:r>
    </w:p>
    <w:p>
      <w:pPr>
        <w:pStyle w:val="ListBullet"/>
        <w:spacing w:line="360" w:lineRule="auto" w:after="100"/>
      </w:pPr>
      <w:r>
        <w:rPr>
          <w:rFonts w:ascii="宋体" w:hAnsi="宋体" w:eastAsia="宋体"/>
          <w:sz w:val="24"/>
        </w:rPr>
        <w:t>修复能够明确归责的特定排水管段并通过功能试验；</w:t>
      </w:r>
    </w:p>
    <w:p>
      <w:pPr>
        <w:pStyle w:val="ListBullet"/>
        <w:spacing w:line="360" w:lineRule="auto" w:after="100"/>
      </w:pPr>
      <w:r>
        <w:rPr>
          <w:rFonts w:ascii="宋体" w:hAnsi="宋体" w:eastAsia="宋体"/>
          <w:sz w:val="24"/>
        </w:rPr>
        <w:t>拆移无权或超过安全必要范围的障碍，或者提供安全替代通道；</w:t>
      </w:r>
    </w:p>
    <w:p>
      <w:pPr>
        <w:pStyle w:val="ListBullet"/>
        <w:spacing w:line="360" w:lineRule="auto" w:after="100"/>
      </w:pPr>
      <w:r>
        <w:rPr>
          <w:rFonts w:ascii="宋体" w:hAnsi="宋体" w:eastAsia="宋体"/>
          <w:sz w:val="24"/>
        </w:rPr>
        <w:t>在专业因果关系成立时，采取必要修缮、修复或加固措施，使相应构件达到现行强制性标准和约定使用功能。</w:t>
      </w:r>
    </w:p>
    <w:p>
      <w:pPr>
        <w:pStyle w:val="Heading2"/>
      </w:pPr>
      <w:r>
        <w:t>更适合通过调解实现的内容</w:t>
      </w:r>
    </w:p>
    <w:p>
      <w:pPr>
        <w:pStyle w:val="ListBullet"/>
        <w:spacing w:line="360" w:lineRule="auto" w:after="100"/>
      </w:pPr>
      <w:r>
        <w:rPr>
          <w:rFonts w:ascii="宋体" w:hAnsi="宋体" w:eastAsia="宋体"/>
          <w:sz w:val="24"/>
        </w:rPr>
        <w:t>由实际实施主体形成楠木厅12号“一屋一策”；</w:t>
      </w:r>
    </w:p>
    <w:p>
      <w:pPr>
        <w:pStyle w:val="ListBullet"/>
        <w:spacing w:line="360" w:lineRule="auto" w:after="100"/>
      </w:pPr>
      <w:r>
        <w:rPr>
          <w:rFonts w:ascii="宋体" w:hAnsi="宋体" w:eastAsia="宋体"/>
          <w:sz w:val="24"/>
        </w:rPr>
        <w:t>整栋修缮加固、复核和安全系统销号；</w:t>
      </w:r>
    </w:p>
    <w:p>
      <w:pPr>
        <w:pStyle w:val="ListBullet"/>
        <w:spacing w:line="360" w:lineRule="auto" w:after="100"/>
      </w:pPr>
      <w:r>
        <w:rPr>
          <w:rFonts w:ascii="宋体" w:hAnsi="宋体" w:eastAsia="宋体"/>
          <w:sz w:val="24"/>
        </w:rPr>
        <w:t>依法纳入城市更新、形成项目实施方案；</w:t>
      </w:r>
    </w:p>
    <w:p>
      <w:pPr>
        <w:pStyle w:val="ListBullet"/>
        <w:spacing w:line="360" w:lineRule="auto" w:after="100"/>
      </w:pPr>
      <w:r>
        <w:rPr>
          <w:rFonts w:ascii="宋体" w:hAnsi="宋体" w:eastAsia="宋体"/>
          <w:sz w:val="24"/>
        </w:rPr>
        <w:t>条件成熟并完成审批后的原拆原建；</w:t>
      </w:r>
    </w:p>
    <w:p>
      <w:pPr>
        <w:pStyle w:val="ListBullet"/>
        <w:spacing w:line="360" w:lineRule="auto" w:after="100"/>
      </w:pPr>
      <w:r>
        <w:rPr>
          <w:rFonts w:ascii="宋体" w:hAnsi="宋体" w:eastAsia="宋体"/>
          <w:sz w:val="24"/>
        </w:rPr>
        <w:t>自愿现金收购、住宅/商业物业置换、现金与物业组合。</w:t>
      </w:r>
    </w:p>
    <w:p>
      <w:pPr>
        <w:pStyle w:val="Heading1"/>
      </w:pPr>
      <w:r>
        <w:t>十二、战略评分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问题</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评分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原因</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最新政策对原告整体有利程度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78/100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提供治理路径、潮宗街保护和闭环调查框架，但不解决科棚归责证据</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对抽象“恢复原状”的帮助</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45/100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说明可治理，却不能补齐原状、主体、点位和验收</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对“恢复正常、安全使用功能”的帮助</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82/100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与危险房屋治理、复核销号、功能恢复高度一致，仍须专业因果和适格责任主体</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对直接要求“有机更新”的帮助</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20/100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政策概念明确但不构成可直接民事判项</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对直接要求“原拆原建”的帮助</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有支持政策但历史街区保护和审批门槛同时提高</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对法院推动整体调解的帮助</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90/100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提供修缮、加固、一屋一策、依法更新和市场化收购多层工具</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增加开福棚改投参加诉讼必要性</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85/100</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广泛恢复和项目履行需要具有管理改造依据及组织能力的主体参与</w:t>
            </w:r>
          </w:p>
        </w:tc>
      </w:tr>
    </w:tbl>
    <w:p>
      <w:pPr>
        <w:spacing w:after="20"/>
      </w:pPr>
    </w:p>
    <w:p>
      <w:pPr>
        <w:pStyle w:val="Heading1"/>
      </w:pPr>
      <w:r>
        <w:t>十三、最终战略建议</w:t>
      </w:r>
    </w:p>
    <w:p>
      <w:pPr>
        <w:spacing w:line="360" w:lineRule="auto" w:after="100"/>
        <w:ind w:firstLine="420"/>
      </w:pPr>
      <w:r>
        <w:rPr>
          <w:rFonts w:ascii="宋体" w:hAnsi="宋体" w:eastAsia="宋体"/>
          <w:sz w:val="24"/>
        </w:rPr>
        <w:t>最优裁判主线只有一个：</w:t>
      </w:r>
      <w:r>
        <w:rPr>
          <w:rFonts w:ascii="宋体" w:hAnsi="宋体" w:eastAsia="宋体"/>
          <w:b/>
          <w:sz w:val="24"/>
        </w:rPr>
        <w:t>针对已经证明的科棚直接行为和其控制的具体妨害，判令停止、排除并作功能明确的修复；对整栋公共设施和安全治理，由参加诉讼的实际责任主体分项承担。</w:t>
      </w:r>
    </w:p>
    <w:p>
      <w:pPr>
        <w:spacing w:line="360" w:lineRule="auto" w:after="100"/>
        <w:ind w:firstLine="420"/>
      </w:pPr>
      <w:r>
        <w:rPr>
          <w:rFonts w:ascii="宋体" w:hAnsi="宋体" w:eastAsia="宋体"/>
          <w:sz w:val="24"/>
        </w:rPr>
        <w:t>最优调解主线只有一个：</w:t>
      </w:r>
      <w:r>
        <w:rPr>
          <w:rFonts w:ascii="宋体" w:hAnsi="宋体" w:eastAsia="宋体"/>
          <w:b/>
          <w:sz w:val="24"/>
        </w:rPr>
        <w:t>基础妨害先行恢复＋开福棚改投或实际实施主体限期组织专业检测、修缮加固和复核，并形成可实施的楠木厅12号“一屋一策”；若专业和审批条件改变，再升级为原拆原建或自愿产权整合。</w:t>
      </w:r>
    </w:p>
    <w:p>
      <w:pPr>
        <w:spacing w:line="360" w:lineRule="auto" w:after="100"/>
        <w:ind w:firstLine="420"/>
      </w:pPr>
      <w:r>
        <w:rPr>
          <w:rFonts w:ascii="宋体" w:hAnsi="宋体" w:eastAsia="宋体"/>
          <w:sz w:val="24"/>
        </w:rPr>
        <w:t>正确利用政策的方法是：把政策当作“有哪些合法治理工具、应向谁调取什么材料、调解能约定什么”的地图；把民法和证据当作“谁必须做什么、法院能够判什么”的依据。两者相互支持，但不能互相替代。</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政策法源核验与本案影响专题分析</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