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开庭前必须补强的证据和程序事项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pStyle w:val="Heading1"/>
      </w:pPr>
      <w:r>
        <w:t>一、分级说明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b/>
          <w:sz w:val="24"/>
        </w:rPr>
        <w:t>S级</w:t>
      </w:r>
      <w:r>
        <w:rPr>
          <w:rFonts w:ascii="宋体" w:hAnsi="宋体" w:eastAsia="宋体"/>
          <w:sz w:val="24"/>
        </w:rPr>
        <w:t>：直接决定科棚直接行为、主体归责、核心请求或程序成败；缺失时应主动限缩表述。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b/>
          <w:sz w:val="24"/>
        </w:rPr>
        <w:t>A级</w:t>
      </w:r>
      <w:r>
        <w:rPr>
          <w:rFonts w:ascii="宋体" w:hAnsi="宋体" w:eastAsia="宋体"/>
          <w:sz w:val="24"/>
        </w:rPr>
        <w:t>：显著影响恢复请求、开福棚改投参加诉讼和法官心证。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b/>
          <w:sz w:val="24"/>
        </w:rPr>
        <w:t>B级</w:t>
      </w:r>
      <w:r>
        <w:rPr>
          <w:rFonts w:ascii="宋体" w:hAnsi="宋体" w:eastAsia="宋体"/>
          <w:sz w:val="24"/>
        </w:rPr>
        <w:t>：重要辅助，用于治理路径、调解和责任范围。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b/>
          <w:sz w:val="24"/>
        </w:rPr>
        <w:t>C级</w:t>
      </w:r>
      <w:r>
        <w:rPr>
          <w:rFonts w:ascii="宋体" w:hAnsi="宋体" w:eastAsia="宋体"/>
          <w:sz w:val="24"/>
        </w:rPr>
        <w:t>：补充背景或条件成熟后取得。</w:t>
      </w:r>
    </w:p>
    <w:p>
      <w:pPr>
        <w:pStyle w:val="Heading1"/>
      </w:pPr>
      <w:r>
        <w:t>二、证据与程序清单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92"/>
        <w:gridCol w:w="1792"/>
        <w:gridCol w:w="1792"/>
        <w:gridCol w:w="1792"/>
        <w:gridCol w:w="1792"/>
      </w:tblGrid>
      <w:tr>
        <w:trPr>
          <w:tblHeader/>
        </w:trPr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级别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材料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核心待证事实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取得方式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具体动作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完整110接处警单、报警录音、询问笔录、执法记录仪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4月现场人员、身份、准确原话、处置经过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申请法院调查；公安信息申请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列明2026-04-27报警编号4301052026042709018007950及4月19日关联事件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科棚“有权鉴定”的原始语音/视频或公安原文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陈述人、科棚身份、准确上下文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自行提交原始载体；法院调取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禁止用现存报警回执代替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2026鉴定委托合同、付款、发票、成果接收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谁委托、谁付款、科棚角色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书证提出命令；向委托人/鉴定机构调查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要求全套合同及附件、账户流水、发票抬头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检测方案、点位图、人员名单、原始记录及现场照片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东301是否为检测点、谁钻孔、必要性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书证提出命令；法院调查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与P1—P4现场点位一一比对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开福棚改投→科棚书面授权及转委托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权限来源、范围、期限、是否含东301/钻孔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要求被告提交；法院调查开福棚改投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无材料时请法院评价其权限抗辩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墙体照片/视频原文件、原设备、哈希和拍摄说明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地点、时间、完整性、损坏现状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原告自行提交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制作电子数据形成、存储、提取说明；保留原设备庭审核验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东301最新登记簿、真实旧权证完整页、门牌沿革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东301/303/栗木巷门牌同一性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政府信息/登记查询；法院调查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隔离“非官方示意”权证图片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S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最新现场勘验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孔洞、废料、排水、围挡、通行当前状态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申请法院勘验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附点位图、量尺、通水演示和双方签字现状表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科棚协调城投清生活垃圾完整证据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何时、谁联系、以何身份、清理范围和费用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自行搜集微信/电话/照片；要求科棚提交；法院调查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导出完整上下文和原始文件，不只截取有利片段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“城投”准确法人身份和清运说明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实施主体、科棚联系基础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要求被告说明；向相关公司调查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核对统一社会信用代码、有权签章说明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清运派工、车辆、费用、消纳和验收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协调能力及已履行范围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要求科棚、城投提交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查明为何只清生活垃圾、建筑废料未处理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建筑垃圾分类清单、来源和点位图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生活/建筑/拆除/加固/检测废料区分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自行固定；现场勘验；施工档案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标明G1—G__、数量、形成时间线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排水管线图、内窥/通水或闭水检测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堵点、破损点、功能和因果关系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现场勘验；委托检测；要求管理主体提交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先检测后决定是否保留对科棚请求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围挡设置、维护、控制文件及替代通道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谁设置、为何设置、期限、是否过度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要求被告/开福棚改投/街道提交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测量通行净宽，固定当前锁闭和钥匙控制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2023湖南湘力完整B级报告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对象、范围、标准、B或Bsu、问题和建议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法院调查开福棚改投、鉴定机构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不得只用生效裁判转述代替完整技术比较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2023加固设计、合同、施工、监理、验收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C后治理、B级形成原因、现存损坏来源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法院调查；书证提出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与2026争议点位区分，防止历史施工混入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开福棚改投参加诉讼申请及分列请求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广泛恢复义务主体完整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原告提交；申请法院释明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若保留排水、围挡、整体加固，建议追加共同被告或至少第三人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整栋楼最新不动产登记信息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共有权人、纽带程序地位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法院调查/登记查询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明确五楼是否已登记给湖南纽带商贸管理有限公司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A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纽带参加诉讼程序意见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共有部分整体改造是否需共同诉讼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申请法院释明/通知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对个别通行保护与共有系统改造分别处理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楠木厅12号“一房/一屋一策”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责任人、方式、资金、期限和现状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政府信息公开；法院调查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向开福区政府、住建、通泰街道、开福棚改投分别申请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城市体检、风险问题和闭环处置记录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鉴定后是否进入治理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政府信息公开；法院调查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要求问题编号、交办、整改、复核、销号全链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2026—2030城市更新项目库及12号是否入库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项目身份和实施主体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注意公开版可能涉内部决策过程，允许提供结论/清单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潮宗街片区策划、实施方案、范围图、建筑清单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12号是否在项目范围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政府信息公开；自行搜集官方公开资料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不以采购总面积推定门牌纳入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2026结构安全鉴定采购的地址清单及12号成果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新鉴定是否包含12号、当前等级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向采购人北城资产申请；法院调查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项目编号KFCG-F202602270013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开福棚改投、科棚、北城资产在潮宗街项目合同和职责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管理、运营、鉴定、协调真实角色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书证提出命令；法院调查；企业档案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区分国企投资、民企运营新闻模式与本案授权事实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科棚、开福棚改投最新工商内档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股东、章程、法定代表和历史变更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市场监管档案；法院调查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股权证明只作关系背景，仍须独立授权证据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征收、收购、征收终止及产权注销/恢复全套材料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长期搁置原因、产权状态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政府信息公开；法院调查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对每一房屋和产权人分别核对，不作整体推定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危旧房专项资金申请、拨付或未申报记录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是否存在资金安排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政策补助不等于必然取得或科棚义务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C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原拆原建可行性论证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是否满足保护、规划、经济和产权条件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调解后共同委托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仅在修缮加固不合理或不可行时启动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C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市场化收购/置换授权、资金和房源材料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谁有权谈判并履行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调解中要求提出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不披露原告内部价格和面积底线</w:t>
            </w:r>
          </w:p>
        </w:tc>
      </w:tr>
    </w:tbl>
    <w:p>
      <w:pPr>
        <w:spacing w:after="20"/>
      </w:pPr>
    </w:p>
    <w:p>
      <w:pPr>
        <w:pStyle w:val="Heading1"/>
      </w:pPr>
      <w:r>
        <w:t>三、政府信息公开申请对象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长沙市住房和城乡建设局</w:t>
      </w:r>
      <w:r>
        <w:rPr>
          <w:rFonts w:ascii="宋体" w:hAnsi="宋体" w:eastAsia="宋体"/>
          <w:sz w:val="24"/>
        </w:rPr>
        <w:t>：城市更新项目库、城市体检和危险房屋治理制度、2026采购成果归口。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长沙市自然资源和规划局</w:t>
      </w:r>
      <w:r>
        <w:rPr>
          <w:rFonts w:ascii="宋体" w:hAnsi="宋体" w:eastAsia="宋体"/>
          <w:sz w:val="24"/>
        </w:rPr>
        <w:t>：潮宗街历史文化保护规划、范围图、楠木厅12号保护身份及规划条件。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开福区人民政府及区住建部门</w:t>
      </w:r>
      <w:r>
        <w:rPr>
          <w:rFonts w:ascii="宋体" w:hAnsi="宋体" w:eastAsia="宋体"/>
          <w:sz w:val="24"/>
        </w:rPr>
        <w:t>：12号项目入库、危旧房清单、一房/一屋一策、责任主体、资金和未实施原因。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通泰街街道办事处</w:t>
      </w:r>
      <w:r>
        <w:rPr>
          <w:rFonts w:ascii="宋体" w:hAnsi="宋体" w:eastAsia="宋体"/>
          <w:sz w:val="24"/>
        </w:rPr>
        <w:t>：2023交办、日常巡查、警示围挡、整改、复核和问题销号。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采购人长沙市北城资产经营管理有限公司</w:t>
      </w:r>
      <w:r>
        <w:rPr>
          <w:rFonts w:ascii="宋体" w:hAnsi="宋体" w:eastAsia="宋体"/>
          <w:sz w:val="24"/>
        </w:rPr>
        <w:t>：2026鉴定门牌清单、12号是否包含、成果和整改建议；涉及商业秘密可申请提供结论性、可分割信息。</w:t>
      </w:r>
    </w:p>
    <w:p>
      <w:pPr>
        <w:pStyle w:val="Heading1"/>
      </w:pPr>
      <w:r>
        <w:t>四、法院调查取证申请重点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调查申请应写明证据名称、所在单位、待证事实、不能自行取得的客观原因和明确线索；不得用“请法院查清全部关系”的概括申请。优先顺序：公安原始记录→鉴定委托及点位→授权链→开福棚改投管理治理文件→垃圾协调和城投主体→登记簿→安全报告与项目材料。</w:t>
      </w:r>
    </w:p>
    <w:p>
      <w:pPr>
        <w:pStyle w:val="Heading1"/>
      </w:pPr>
      <w:r>
        <w:t>五、书证提出命令重点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对科棚、开福棚改投或鉴定机构控制的鉴定合同、授权、派工、付款、人员、点位、成果、清运工作群和费用材料，先在举证期限届满前提出申请，准确说明书证名称、内容、证明目的和对方控制事实。对方无正当理由拒不提出时，再请求法院依法评价证明妨碍，不宜预先表述为当然认可原告主张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开庭前必须补强的证据和程序事项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