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/>
    <w:p/>
    <w:p/>
    <w:p>
      <w:pPr>
        <w:spacing w:after="360"/>
        <w:jc w:val="center"/>
      </w:pPr>
      <w:r>
        <w:rPr>
          <w:rFonts w:ascii="方正小标宋简体" w:hAnsi="方正小标宋简体" w:eastAsia="方正小标宋简体"/>
          <w:b/>
          <w:color w:val="17365D"/>
          <w:sz w:val="48"/>
        </w:rPr>
        <w:t>新版诉讼请求评估</w:t>
      </w:r>
    </w:p>
    <w:p>
      <w:pPr>
        <w:jc w:val="center"/>
      </w:pPr>
      <w:r>
        <w:rPr>
          <w:rFonts w:ascii="宋体" w:hAnsi="宋体" w:eastAsia="宋体"/>
          <w:color w:val="5F6B78"/>
          <w:sz w:val="24"/>
        </w:rPr>
        <w:t>李运芳诉长沙科棚潮宗街商业管理有限公司排除妨害纠纷案</w:t>
      </w:r>
    </w:p>
    <w:p>
      <w:pPr>
        <w:spacing w:before="2800"/>
        <w:jc w:val="center"/>
      </w:pPr>
      <w:r>
        <w:rPr>
          <w:rFonts w:ascii="宋体" w:hAnsi="宋体" w:eastAsia="宋体"/>
          <w:color w:val="5F6B78"/>
          <w:sz w:val="22"/>
        </w:rPr>
        <w:t>原始材料与官方法源核验 · 2026年8月14日</w:t>
      </w:r>
    </w:p>
    <w:p>
      <w:r>
        <w:br w:type="page"/>
      </w:r>
    </w:p>
    <w:p>
      <w:pPr>
        <w:spacing w:line="360" w:lineRule="auto" w:after="100"/>
        <w:ind w:firstLine="420"/>
      </w:pPr>
      <w:r>
        <w:rPr>
          <w:rFonts w:ascii="宋体" w:hAnsi="宋体" w:eastAsia="宋体"/>
          <w:sz w:val="24"/>
        </w:rPr>
        <w:t>评估日期：2026年8月14日</w:t>
      </w:r>
    </w:p>
    <w:p>
      <w:pPr>
        <w:pStyle w:val="Heading1"/>
      </w:pPr>
      <w:r>
        <w:t>一、结论</w:t>
      </w:r>
    </w:p>
    <w:p>
      <w:pPr>
        <w:spacing w:line="360" w:lineRule="auto" w:after="100"/>
        <w:ind w:firstLine="420"/>
      </w:pPr>
      <w:r>
        <w:rPr>
          <w:rFonts w:ascii="宋体" w:hAnsi="宋体" w:eastAsia="宋体"/>
          <w:sz w:val="24"/>
        </w:rPr>
        <w:t>最适合法院直接裁判的结构不是抽象“恢复原状”，也不是直接判令“有机更新”或“原拆原建”，而是：</w:t>
      </w:r>
      <w:r>
        <w:rPr>
          <w:rFonts w:ascii="宋体" w:hAnsi="宋体" w:eastAsia="宋体"/>
          <w:b/>
          <w:sz w:val="24"/>
        </w:rPr>
        <w:t>停止、排除具体妨害＋修复能够归责的具体损坏＋在专业证据和因果关系成立时恢复相应正常、安全使用功能</w:t>
      </w:r>
      <w:r>
        <w:rPr>
          <w:rFonts w:ascii="宋体" w:hAnsi="宋体" w:eastAsia="宋体"/>
          <w:sz w:val="24"/>
        </w:rPr>
        <w:t>。法院主要确定法律结果、点位和验收；工程主体依法选择安全、合规的履行方式。</w:t>
      </w:r>
    </w:p>
    <w:p>
      <w:pPr>
        <w:spacing w:line="360" w:lineRule="auto" w:after="100"/>
        <w:ind w:firstLine="420"/>
      </w:pPr>
      <w:r>
        <w:rPr>
          <w:rFonts w:ascii="宋体" w:hAnsi="宋体" w:eastAsia="宋体"/>
          <w:sz w:val="24"/>
        </w:rPr>
        <w:t>对科棚单独提出的请求，应集中在科棚自身行为或其工作人员执行任务造成的妨害。凡涉及整栋共有区域长期管理、共同排水、整体围挡、修缮加固和项目组织，建议追加开福棚改投参加后再分列义务。</w:t>
      </w:r>
    </w:p>
    <w:p>
      <w:pPr>
        <w:pStyle w:val="Heading1"/>
      </w:pPr>
      <w:r>
        <w:t>二、四类传统方案评分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493"/>
        <w:gridCol w:w="1493"/>
        <w:gridCol w:w="1493"/>
        <w:gridCol w:w="1493"/>
        <w:gridCol w:w="1493"/>
        <w:gridCol w:w="1493"/>
      </w:tblGrid>
      <w:tr>
        <w:trPr>
          <w:tblHeader/>
        </w:trPr>
        <w:tc>
          <w:tcPr>
            <w:tcW w:type="dxa" w:w="1493"/>
            <w:vAlign w:val="center"/>
            <w:shd w:fill="17365D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b/>
                <w:color w:val="FFFFFF"/>
                <w:sz w:val="19"/>
              </w:rPr>
              <w:t>方案</w:t>
            </w:r>
          </w:p>
        </w:tc>
        <w:tc>
          <w:tcPr>
            <w:tcW w:type="dxa" w:w="1493"/>
            <w:vAlign w:val="center"/>
            <w:shd w:fill="17365D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b/>
                <w:color w:val="FFFFFF"/>
                <w:sz w:val="19"/>
              </w:rPr>
              <w:t>法律清晰度</w:t>
            </w:r>
          </w:p>
        </w:tc>
        <w:tc>
          <w:tcPr>
            <w:tcW w:type="dxa" w:w="1493"/>
            <w:vAlign w:val="center"/>
            <w:shd w:fill="17365D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b/>
                <w:color w:val="FFFFFF"/>
                <w:sz w:val="19"/>
              </w:rPr>
              <w:t>证据适配度</w:t>
            </w:r>
          </w:p>
        </w:tc>
        <w:tc>
          <w:tcPr>
            <w:tcW w:type="dxa" w:w="1493"/>
            <w:vAlign w:val="center"/>
            <w:shd w:fill="17365D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b/>
                <w:color w:val="FFFFFF"/>
                <w:sz w:val="19"/>
              </w:rPr>
              <w:t>可执行性</w:t>
            </w:r>
          </w:p>
        </w:tc>
        <w:tc>
          <w:tcPr>
            <w:tcW w:type="dxa" w:w="1493"/>
            <w:vAlign w:val="center"/>
            <w:shd w:fill="17365D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b/>
                <w:color w:val="FFFFFF"/>
                <w:sz w:val="19"/>
              </w:rPr>
              <w:t>法官接受可能</w:t>
            </w:r>
          </w:p>
        </w:tc>
        <w:tc>
          <w:tcPr>
            <w:tcW w:type="dxa" w:w="1493"/>
            <w:vAlign w:val="center"/>
            <w:shd w:fill="17365D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b/>
                <w:color w:val="FFFFFF"/>
                <w:sz w:val="19"/>
              </w:rPr>
              <w:t>结论</w:t>
            </w:r>
          </w:p>
        </w:tc>
      </w:tr>
      <w:tr>
        <w:tc>
          <w:tcPr>
            <w:tcW w:type="dxa" w:w="1493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A 传统“恢复涉案房屋原状”</w:t>
            </w:r>
          </w:p>
        </w:tc>
        <w:tc>
          <w:tcPr>
            <w:tcW w:type="dxa" w:w="1493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60</w:t>
            </w:r>
          </w:p>
        </w:tc>
        <w:tc>
          <w:tcPr>
            <w:tcW w:type="dxa" w:w="1493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35</w:t>
            </w:r>
          </w:p>
        </w:tc>
        <w:tc>
          <w:tcPr>
            <w:tcW w:type="dxa" w:w="1493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30</w:t>
            </w:r>
          </w:p>
        </w:tc>
        <w:tc>
          <w:tcPr>
            <w:tcW w:type="dxa" w:w="1493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40</w:t>
            </w:r>
          </w:p>
        </w:tc>
        <w:tc>
          <w:tcPr>
            <w:tcW w:type="dxa" w:w="1493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有法定责任方式，但原状、范围、主体和工程标准不明，不宜保留为唯一表述</w:t>
            </w:r>
          </w:p>
        </w:tc>
      </w:tr>
      <w:tr>
        <w:tc>
          <w:tcPr>
            <w:tcW w:type="dxa" w:w="1493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B 四项具体恢复：垃圾、排水、通行、修复加固</w:t>
            </w:r>
          </w:p>
        </w:tc>
        <w:tc>
          <w:tcPr>
            <w:tcW w:type="dxa" w:w="1493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86</w:t>
            </w:r>
          </w:p>
        </w:tc>
        <w:tc>
          <w:tcPr>
            <w:tcW w:type="dxa" w:w="1493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60</w:t>
            </w:r>
          </w:p>
        </w:tc>
        <w:tc>
          <w:tcPr>
            <w:tcW w:type="dxa" w:w="1493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82</w:t>
            </w:r>
          </w:p>
        </w:tc>
        <w:tc>
          <w:tcPr>
            <w:tcW w:type="dxa" w:w="1493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78</w:t>
            </w:r>
          </w:p>
        </w:tc>
        <w:tc>
          <w:tcPr>
            <w:tcW w:type="dxa" w:w="1493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最接近可裁判结构，但每项须补点位、责任主体、因果关系和验收标准</w:t>
            </w:r>
          </w:p>
        </w:tc>
      </w:tr>
      <w:tr>
        <w:tc>
          <w:tcPr>
            <w:tcW w:type="dxa" w:w="1493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C 直接判令“有机更新”</w:t>
            </w:r>
          </w:p>
        </w:tc>
        <w:tc>
          <w:tcPr>
            <w:tcW w:type="dxa" w:w="1493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25</w:t>
            </w:r>
          </w:p>
        </w:tc>
        <w:tc>
          <w:tcPr>
            <w:tcW w:type="dxa" w:w="1493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20</w:t>
            </w:r>
          </w:p>
        </w:tc>
        <w:tc>
          <w:tcPr>
            <w:tcW w:type="dxa" w:w="1493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15</w:t>
            </w:r>
          </w:p>
        </w:tc>
        <w:tc>
          <w:tcPr>
            <w:tcW w:type="dxa" w:w="1493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18</w:t>
            </w:r>
          </w:p>
        </w:tc>
        <w:tc>
          <w:tcPr>
            <w:tcW w:type="dxa" w:w="1493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概念、项目主体、审批、标准均不明确，宜作调解或行政治理事项</w:t>
            </w:r>
          </w:p>
        </w:tc>
      </w:tr>
      <w:tr>
        <w:tc>
          <w:tcPr>
            <w:tcW w:type="dxa" w:w="1493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D 直接判令“原拆原建”</w:t>
            </w:r>
          </w:p>
        </w:tc>
        <w:tc>
          <w:tcPr>
            <w:tcW w:type="dxa" w:w="1493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20</w:t>
            </w:r>
          </w:p>
        </w:tc>
        <w:tc>
          <w:tcPr>
            <w:tcW w:type="dxa" w:w="1493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10</w:t>
            </w:r>
          </w:p>
        </w:tc>
        <w:tc>
          <w:tcPr>
            <w:tcW w:type="dxa" w:w="1493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10</w:t>
            </w:r>
          </w:p>
        </w:tc>
        <w:tc>
          <w:tcPr>
            <w:tcW w:type="dxa" w:w="1493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12</w:t>
            </w:r>
          </w:p>
        </w:tc>
        <w:tc>
          <w:tcPr>
            <w:tcW w:type="dxa" w:w="1493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涉业主表决、历史保护、规划建设审批和其他权利人，诉请明显过度</w:t>
            </w:r>
          </w:p>
        </w:tc>
      </w:tr>
      <w:tr>
        <w:tc>
          <w:tcPr>
            <w:tcW w:type="dxa" w:w="1493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E 恢复正常安全使用结果＋依法选择修缮加固等路径</w:t>
            </w:r>
          </w:p>
        </w:tc>
        <w:tc>
          <w:tcPr>
            <w:tcW w:type="dxa" w:w="1493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90</w:t>
            </w:r>
          </w:p>
        </w:tc>
        <w:tc>
          <w:tcPr>
            <w:tcW w:type="dxa" w:w="1493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65</w:t>
            </w:r>
          </w:p>
        </w:tc>
        <w:tc>
          <w:tcPr>
            <w:tcW w:type="dxa" w:w="1493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84</w:t>
            </w:r>
          </w:p>
        </w:tc>
        <w:tc>
          <w:tcPr>
            <w:tcW w:type="dxa" w:w="1493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82</w:t>
            </w:r>
          </w:p>
        </w:tc>
        <w:tc>
          <w:tcPr>
            <w:tcW w:type="dxa" w:w="1493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最优，但对整栋安全结果须有专业因果证据并由实际责任主体参加</w:t>
            </w:r>
          </w:p>
        </w:tc>
      </w:tr>
    </w:tbl>
    <w:p>
      <w:pPr>
        <w:spacing w:after="20"/>
      </w:pPr>
    </w:p>
    <w:p>
      <w:pPr>
        <w:pStyle w:val="Heading1"/>
      </w:pPr>
      <w:r>
        <w:t>三、现有各项请求评级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120"/>
        <w:gridCol w:w="1120"/>
        <w:gridCol w:w="1120"/>
        <w:gridCol w:w="1120"/>
        <w:gridCol w:w="1120"/>
        <w:gridCol w:w="1120"/>
        <w:gridCol w:w="1120"/>
        <w:gridCol w:w="1120"/>
      </w:tblGrid>
      <w:tr>
        <w:trPr>
          <w:tblHeader/>
        </w:trPr>
        <w:tc>
          <w:tcPr>
            <w:tcW w:type="dxa" w:w="1120"/>
            <w:vAlign w:val="center"/>
            <w:shd w:fill="17365D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b/>
                <w:color w:val="FFFFFF"/>
                <w:sz w:val="19"/>
              </w:rPr>
              <w:t>诉请</w:t>
            </w:r>
          </w:p>
        </w:tc>
        <w:tc>
          <w:tcPr>
            <w:tcW w:type="dxa" w:w="1120"/>
            <w:vAlign w:val="center"/>
            <w:shd w:fill="17365D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b/>
                <w:color w:val="FFFFFF"/>
                <w:sz w:val="19"/>
              </w:rPr>
              <w:t>请求权基础</w:t>
            </w:r>
          </w:p>
        </w:tc>
        <w:tc>
          <w:tcPr>
            <w:tcW w:type="dxa" w:w="1120"/>
            <w:vAlign w:val="center"/>
            <w:shd w:fill="17365D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b/>
                <w:color w:val="FFFFFF"/>
                <w:sz w:val="19"/>
              </w:rPr>
              <w:t>被告主体适格</w:t>
            </w:r>
          </w:p>
        </w:tc>
        <w:tc>
          <w:tcPr>
            <w:tcW w:type="dxa" w:w="1120"/>
            <w:vAlign w:val="center"/>
            <w:shd w:fill="17365D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b/>
                <w:color w:val="FFFFFF"/>
                <w:sz w:val="19"/>
              </w:rPr>
              <w:t>实体责任证据</w:t>
            </w:r>
          </w:p>
        </w:tc>
        <w:tc>
          <w:tcPr>
            <w:tcW w:type="dxa" w:w="1120"/>
            <w:vAlign w:val="center"/>
            <w:shd w:fill="17365D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b/>
                <w:color w:val="FFFFFF"/>
                <w:sz w:val="19"/>
              </w:rPr>
              <w:t>因果关系</w:t>
            </w:r>
          </w:p>
        </w:tc>
        <w:tc>
          <w:tcPr>
            <w:tcW w:type="dxa" w:w="1120"/>
            <w:vAlign w:val="center"/>
            <w:shd w:fill="17365D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b/>
                <w:color w:val="FFFFFF"/>
                <w:sz w:val="19"/>
              </w:rPr>
              <w:t>可执行性</w:t>
            </w:r>
          </w:p>
        </w:tc>
        <w:tc>
          <w:tcPr>
            <w:tcW w:type="dxa" w:w="1120"/>
            <w:vAlign w:val="center"/>
            <w:shd w:fill="17365D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b/>
                <w:color w:val="FFFFFF"/>
                <w:sz w:val="19"/>
              </w:rPr>
              <w:t>城市更新政策影响</w:t>
            </w:r>
          </w:p>
        </w:tc>
        <w:tc>
          <w:tcPr>
            <w:tcW w:type="dxa" w:w="1120"/>
            <w:vAlign w:val="center"/>
            <w:shd w:fill="17365D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b/>
                <w:color w:val="FFFFFF"/>
                <w:sz w:val="19"/>
              </w:rPr>
              <w:t>建议</w:t>
            </w:r>
          </w:p>
        </w:tc>
      </w:tr>
      <w:tr>
        <w:tc>
          <w:tcPr>
            <w:tcW w:type="dxa" w:w="112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不得未经同意或法定程序进入东301</w:t>
            </w:r>
          </w:p>
        </w:tc>
        <w:tc>
          <w:tcPr>
            <w:tcW w:type="dxa" w:w="112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民法典第236、1167条</w:t>
            </w:r>
          </w:p>
        </w:tc>
        <w:tc>
          <w:tcPr>
            <w:tcW w:type="dxa" w:w="112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科棚就被指控直接行为具有适格性</w:t>
            </w:r>
          </w:p>
        </w:tc>
        <w:tc>
          <w:tcPr>
            <w:tcW w:type="dxa" w:w="112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报警回执仅证明报警，人员身份和原话须补强</w:t>
            </w:r>
          </w:p>
        </w:tc>
        <w:tc>
          <w:tcPr>
            <w:tcW w:type="dxa" w:w="112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与将来停止请求联系直接</w:t>
            </w:r>
          </w:p>
        </w:tc>
        <w:tc>
          <w:tcPr>
            <w:tcW w:type="dxa" w:w="112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经限定人员、场所、例外情形后较高</w:t>
            </w:r>
          </w:p>
        </w:tc>
        <w:tc>
          <w:tcPr>
            <w:tcW w:type="dxa" w:w="112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政策不降低专有权保护，安全检查仍须合法</w:t>
            </w:r>
          </w:p>
        </w:tc>
        <w:tc>
          <w:tcPr>
            <w:tcW w:type="dxa" w:w="112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b/>
                <w:sz w:val="19"/>
              </w:rPr>
              <w:t>A级（补证后）</w:t>
            </w:r>
            <w:r>
              <w:rPr>
                <w:rFonts w:ascii="宋体" w:hAnsi="宋体" w:eastAsia="宋体"/>
                <w:sz w:val="19"/>
              </w:rPr>
              <w:t>；保留并规范例外</w:t>
            </w:r>
          </w:p>
        </w:tc>
      </w:tr>
      <w:tr>
        <w:tc>
          <w:tcPr>
            <w:tcW w:type="dxa" w:w="112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不得在东301钻孔、凿墙、取样</w:t>
            </w:r>
          </w:p>
        </w:tc>
        <w:tc>
          <w:tcPr>
            <w:tcW w:type="dxa" w:w="112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民法典第236、237、1167条</w:t>
            </w:r>
          </w:p>
        </w:tc>
        <w:tc>
          <w:tcPr>
            <w:tcW w:type="dxa" w:w="112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同上</w:t>
            </w:r>
          </w:p>
        </w:tc>
        <w:tc>
          <w:tcPr>
            <w:tcW w:type="dxa" w:w="112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损坏照片证明外观，实施人须补强</w:t>
            </w:r>
          </w:p>
        </w:tc>
        <w:tc>
          <w:tcPr>
            <w:tcW w:type="dxa" w:w="112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须由鉴定点位和人员记录闭合</w:t>
            </w:r>
          </w:p>
        </w:tc>
        <w:tc>
          <w:tcPr>
            <w:tcW w:type="dxa" w:w="112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点位、行为明确时高</w:t>
            </w:r>
          </w:p>
        </w:tc>
        <w:tc>
          <w:tcPr>
            <w:tcW w:type="dxa" w:w="112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鉴定不等于无限权限</w:t>
            </w:r>
          </w:p>
        </w:tc>
        <w:tc>
          <w:tcPr>
            <w:tcW w:type="dxa" w:w="112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b/>
                <w:sz w:val="19"/>
              </w:rPr>
              <w:t>A级（补证后）</w:t>
            </w:r>
            <w:r>
              <w:rPr>
                <w:rFonts w:ascii="宋体" w:hAnsi="宋体" w:eastAsia="宋体"/>
                <w:sz w:val="19"/>
              </w:rPr>
              <w:t>；与第一项合并或分项</w:t>
            </w:r>
          </w:p>
        </w:tc>
      </w:tr>
      <w:tr>
        <w:tc>
          <w:tcPr>
            <w:tcW w:type="dxa" w:w="112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不得损坏、封堵或控制铁门、楼道、通道及设施</w:t>
            </w:r>
          </w:p>
        </w:tc>
        <w:tc>
          <w:tcPr>
            <w:tcW w:type="dxa" w:w="112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民法典第271—273、286、287条</w:t>
            </w:r>
          </w:p>
        </w:tc>
        <w:tc>
          <w:tcPr>
            <w:tcW w:type="dxa" w:w="112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取决于科棚是否实施或控制</w:t>
            </w:r>
          </w:p>
        </w:tc>
        <w:tc>
          <w:tcPr>
            <w:tcW w:type="dxa" w:w="112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现有照片不证明控制主体</w:t>
            </w:r>
          </w:p>
        </w:tc>
        <w:tc>
          <w:tcPr>
            <w:tcW w:type="dxa" w:w="112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目前不足</w:t>
            </w:r>
          </w:p>
        </w:tc>
        <w:tc>
          <w:tcPr>
            <w:tcW w:type="dxa" w:w="112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概括表述过宽</w:t>
            </w:r>
          </w:p>
        </w:tc>
        <w:tc>
          <w:tcPr>
            <w:tcW w:type="dxa" w:w="112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安全围挡可能有正当性</w:t>
            </w:r>
          </w:p>
        </w:tc>
        <w:tc>
          <w:tcPr>
            <w:tcW w:type="dxa" w:w="112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b/>
                <w:sz w:val="19"/>
              </w:rPr>
              <w:t>B级</w:t>
            </w:r>
            <w:r>
              <w:rPr>
                <w:rFonts w:ascii="宋体" w:hAnsi="宋体" w:eastAsia="宋体"/>
                <w:sz w:val="19"/>
              </w:rPr>
              <w:t>；限定具体区段、当前状态和合理安全例外</w:t>
            </w:r>
          </w:p>
        </w:tc>
      </w:tr>
      <w:tr>
        <w:tc>
          <w:tcPr>
            <w:tcW w:type="dxa" w:w="112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拆除/调整围挡并恢复正常通行</w:t>
            </w:r>
          </w:p>
        </w:tc>
        <w:tc>
          <w:tcPr>
            <w:tcW w:type="dxa" w:w="112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民法典第236、271—273条</w:t>
            </w:r>
          </w:p>
        </w:tc>
        <w:tc>
          <w:tcPr>
            <w:tcW w:type="dxa" w:w="112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设置或控制人适格，科棚身份待证</w:t>
            </w:r>
          </w:p>
        </w:tc>
        <w:tc>
          <w:tcPr>
            <w:tcW w:type="dxa" w:w="112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围挡照片不能证明当前状态和设置人</w:t>
            </w:r>
          </w:p>
        </w:tc>
        <w:tc>
          <w:tcPr>
            <w:tcW w:type="dxa" w:w="112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须补控制主体和现实影响</w:t>
            </w:r>
          </w:p>
        </w:tc>
        <w:tc>
          <w:tcPr>
            <w:tcW w:type="dxa" w:w="112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可设区段、净宽、期限、替代通道</w:t>
            </w:r>
          </w:p>
        </w:tc>
        <w:tc>
          <w:tcPr>
            <w:tcW w:type="dxa" w:w="112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政策要求安全防控，支持比例化而非无条件拆除</w:t>
            </w:r>
          </w:p>
        </w:tc>
        <w:tc>
          <w:tcPr>
            <w:tcW w:type="dxa" w:w="112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b/>
                <w:sz w:val="19"/>
              </w:rPr>
              <w:t>B级</w:t>
            </w:r>
            <w:r>
              <w:rPr>
                <w:rFonts w:ascii="宋体" w:hAnsi="宋体" w:eastAsia="宋体"/>
                <w:sz w:val="19"/>
              </w:rPr>
              <w:t>；先勘验，必要时追加开福棚改投</w:t>
            </w:r>
          </w:p>
        </w:tc>
      </w:tr>
      <w:tr>
        <w:tc>
          <w:tcPr>
            <w:tcW w:type="dxa" w:w="112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清除生活垃圾</w:t>
            </w:r>
          </w:p>
        </w:tc>
        <w:tc>
          <w:tcPr>
            <w:tcW w:type="dxa" w:w="112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民法典第236、286、287条</w:t>
            </w:r>
          </w:p>
        </w:tc>
        <w:tc>
          <w:tcPr>
            <w:tcW w:type="dxa" w:w="112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产生者、管理者或控制者适格</w:t>
            </w:r>
          </w:p>
        </w:tc>
        <w:tc>
          <w:tcPr>
            <w:tcW w:type="dxa" w:w="112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据称已部分清除；原始清运材料缺失</w:t>
            </w:r>
          </w:p>
        </w:tc>
        <w:tc>
          <w:tcPr>
            <w:tcW w:type="dxa" w:w="112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已履行部分无继续请求必要</w:t>
            </w:r>
          </w:p>
        </w:tc>
        <w:tc>
          <w:tcPr>
            <w:tcW w:type="dxa" w:w="112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特定点位可执行</w:t>
            </w:r>
          </w:p>
        </w:tc>
        <w:tc>
          <w:tcPr>
            <w:tcW w:type="dxa" w:w="112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政策影响弱</w:t>
            </w:r>
          </w:p>
        </w:tc>
        <w:tc>
          <w:tcPr>
            <w:tcW w:type="dxa" w:w="112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b/>
                <w:sz w:val="19"/>
              </w:rPr>
              <w:t>D级（已清部分）</w:t>
            </w:r>
            <w:r>
              <w:rPr>
                <w:rFonts w:ascii="宋体" w:hAnsi="宋体" w:eastAsia="宋体"/>
                <w:sz w:val="19"/>
              </w:rPr>
              <w:t>；确认履行、不重复请求</w:t>
            </w:r>
          </w:p>
        </w:tc>
      </w:tr>
      <w:tr>
        <w:tc>
          <w:tcPr>
            <w:tcW w:type="dxa" w:w="112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清除建筑垃圾、拆除废料、施工残留</w:t>
            </w:r>
          </w:p>
        </w:tc>
        <w:tc>
          <w:tcPr>
            <w:tcW w:type="dxa" w:w="112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民法典第236、237条</w:t>
            </w:r>
          </w:p>
        </w:tc>
        <w:tc>
          <w:tcPr>
            <w:tcW w:type="dxa" w:w="112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产生或负有清理义务者适格</w:t>
            </w:r>
          </w:p>
        </w:tc>
        <w:tc>
          <w:tcPr>
            <w:tcW w:type="dxa" w:w="112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现有照片仅局部碎屑，来源未分</w:t>
            </w:r>
          </w:p>
        </w:tc>
        <w:tc>
          <w:tcPr>
            <w:tcW w:type="dxa" w:w="112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当前不足</w:t>
            </w:r>
          </w:p>
        </w:tc>
        <w:tc>
          <w:tcPr>
            <w:tcW w:type="dxa" w:w="112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制作点位图和清单后较高</w:t>
            </w:r>
          </w:p>
        </w:tc>
        <w:tc>
          <w:tcPr>
            <w:tcW w:type="dxa" w:w="112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问题闭环支持治理背景</w:t>
            </w:r>
          </w:p>
        </w:tc>
        <w:tc>
          <w:tcPr>
            <w:tcW w:type="dxa" w:w="112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b/>
                <w:sz w:val="19"/>
              </w:rPr>
              <w:t>B级</w:t>
            </w:r>
            <w:r>
              <w:rPr>
                <w:rFonts w:ascii="宋体" w:hAnsi="宋体" w:eastAsia="宋体"/>
                <w:sz w:val="19"/>
              </w:rPr>
              <w:t>；补来源和控制证据，分列责任主体</w:t>
            </w:r>
          </w:p>
        </w:tc>
      </w:tr>
      <w:tr>
        <w:tc>
          <w:tcPr>
            <w:tcW w:type="dxa" w:w="112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恢复排水/下水道</w:t>
            </w:r>
          </w:p>
        </w:tc>
        <w:tc>
          <w:tcPr>
            <w:tcW w:type="dxa" w:w="112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民法典第236、237、290条</w:t>
            </w:r>
          </w:p>
        </w:tc>
        <w:tc>
          <w:tcPr>
            <w:tcW w:type="dxa" w:w="112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行为人、管理者或相邻义务人依事实确定</w:t>
            </w:r>
          </w:p>
        </w:tc>
        <w:tc>
          <w:tcPr>
            <w:tcW w:type="dxa" w:w="112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无管线、检测、堵点及科棚行为证据</w:t>
            </w:r>
          </w:p>
        </w:tc>
        <w:tc>
          <w:tcPr>
            <w:tcW w:type="dxa" w:w="112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当前最弱</w:t>
            </w:r>
          </w:p>
        </w:tc>
        <w:tc>
          <w:tcPr>
            <w:tcW w:type="dxa" w:w="112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技术检测后可明确</w:t>
            </w:r>
          </w:p>
        </w:tc>
        <w:tc>
          <w:tcPr>
            <w:tcW w:type="dxa" w:w="112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危旧治理说明该功能不能长期搁置</w:t>
            </w:r>
          </w:p>
        </w:tc>
        <w:tc>
          <w:tcPr>
            <w:tcW w:type="dxa" w:w="112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b/>
                <w:sz w:val="19"/>
              </w:rPr>
              <w:t>B级</w:t>
            </w:r>
            <w:r>
              <w:rPr>
                <w:rFonts w:ascii="宋体" w:hAnsi="宋体" w:eastAsia="宋体"/>
                <w:sz w:val="19"/>
              </w:rPr>
              <w:t>；勘验、通水检测后提出，广泛请求宜追加开福棚改投</w:t>
            </w:r>
          </w:p>
        </w:tc>
      </w:tr>
      <w:tr>
        <w:tc>
          <w:tcPr>
            <w:tcW w:type="dxa" w:w="112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修复钻孔、剔凿及墙体损坏</w:t>
            </w:r>
          </w:p>
        </w:tc>
        <w:tc>
          <w:tcPr>
            <w:tcW w:type="dxa" w:w="112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民法典第237、1165、1191条</w:t>
            </w:r>
          </w:p>
        </w:tc>
        <w:tc>
          <w:tcPr>
            <w:tcW w:type="dxa" w:w="112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科棚若组织实施或工作人员执行任务则适格</w:t>
            </w:r>
          </w:p>
        </w:tc>
        <w:tc>
          <w:tcPr>
            <w:tcW w:type="dxa" w:w="112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照片有损坏外观，行为主体不足</w:t>
            </w:r>
          </w:p>
        </w:tc>
        <w:tc>
          <w:tcPr>
            <w:tcW w:type="dxa" w:w="112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补公安、鉴定点位、派工后可增强</w:t>
            </w:r>
          </w:p>
        </w:tc>
        <w:tc>
          <w:tcPr>
            <w:tcW w:type="dxa" w:w="112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逐点编号、修复标准后高</w:t>
            </w:r>
          </w:p>
        </w:tc>
        <w:tc>
          <w:tcPr>
            <w:tcW w:type="dxa" w:w="112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政策不是责任基础，但不妨碍具体修复</w:t>
            </w:r>
          </w:p>
        </w:tc>
        <w:tc>
          <w:tcPr>
            <w:tcW w:type="dxa" w:w="112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b/>
                <w:sz w:val="19"/>
              </w:rPr>
              <w:t>A级（补证后）</w:t>
            </w:r>
            <w:r>
              <w:rPr>
                <w:rFonts w:ascii="宋体" w:hAnsi="宋体" w:eastAsia="宋体"/>
                <w:sz w:val="19"/>
              </w:rPr>
              <w:t>；作为对科棚的核心给付请求</w:t>
            </w:r>
          </w:p>
        </w:tc>
      </w:tr>
      <w:tr>
        <w:tc>
          <w:tcPr>
            <w:tcW w:type="dxa" w:w="112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修复门窗、照明及其他设施</w:t>
            </w:r>
          </w:p>
        </w:tc>
        <w:tc>
          <w:tcPr>
            <w:tcW w:type="dxa" w:w="112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民法典第237、1165条</w:t>
            </w:r>
          </w:p>
        </w:tc>
        <w:tc>
          <w:tcPr>
            <w:tcW w:type="dxa" w:w="112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依具体行为确定</w:t>
            </w:r>
          </w:p>
        </w:tc>
        <w:tc>
          <w:tcPr>
            <w:tcW w:type="dxa" w:w="112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原状态、变化时间、实施主体均不足</w:t>
            </w:r>
          </w:p>
        </w:tc>
        <w:tc>
          <w:tcPr>
            <w:tcW w:type="dxa" w:w="112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不足</w:t>
            </w:r>
          </w:p>
        </w:tc>
        <w:tc>
          <w:tcPr>
            <w:tcW w:type="dxa" w:w="112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概括请求不可执行</w:t>
            </w:r>
          </w:p>
        </w:tc>
        <w:tc>
          <w:tcPr>
            <w:tcW w:type="dxa" w:w="112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政策仅为背景</w:t>
            </w:r>
          </w:p>
        </w:tc>
        <w:tc>
          <w:tcPr>
            <w:tcW w:type="dxa" w:w="112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b/>
                <w:sz w:val="19"/>
              </w:rPr>
              <w:t>D级</w:t>
            </w:r>
            <w:r>
              <w:rPr>
                <w:rFonts w:ascii="宋体" w:hAnsi="宋体" w:eastAsia="宋体"/>
                <w:sz w:val="19"/>
              </w:rPr>
              <w:t>；没有逐项证据暂不提出</w:t>
            </w:r>
          </w:p>
        </w:tc>
      </w:tr>
      <w:tr>
        <w:tc>
          <w:tcPr>
            <w:tcW w:type="dxa" w:w="112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必要修缮、加固并恢复正常、安全使用状态</w:t>
            </w:r>
          </w:p>
        </w:tc>
        <w:tc>
          <w:tcPr>
            <w:tcW w:type="dxa" w:w="112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民法典第236、237、1165条；房屋安全规范</w:t>
            </w:r>
          </w:p>
        </w:tc>
        <w:tc>
          <w:tcPr>
            <w:tcW w:type="dxa" w:w="112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科棚仅在其行为导致或其确负管理义务范围内适格；开福棚改投参加更必要</w:t>
            </w:r>
          </w:p>
        </w:tc>
        <w:tc>
          <w:tcPr>
            <w:tcW w:type="dxa" w:w="112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当前缺新安全报告和行为导致等级变化的证明</w:t>
            </w:r>
          </w:p>
        </w:tc>
        <w:tc>
          <w:tcPr>
            <w:tcW w:type="dxa" w:w="112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对科棚整体因果关系不足</w:t>
            </w:r>
          </w:p>
        </w:tc>
        <w:tc>
          <w:tcPr>
            <w:tcW w:type="dxa" w:w="112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有专业方案、主体和复核时可执行</w:t>
            </w:r>
          </w:p>
        </w:tc>
        <w:tc>
          <w:tcPr>
            <w:tcW w:type="dxa" w:w="112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2026政策帮助大，但不创设科棚义务</w:t>
            </w:r>
          </w:p>
        </w:tc>
        <w:tc>
          <w:tcPr>
            <w:tcW w:type="dxa" w:w="112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b/>
                <w:sz w:val="19"/>
              </w:rPr>
              <w:t>B级</w:t>
            </w:r>
            <w:r>
              <w:rPr>
                <w:rFonts w:ascii="宋体" w:hAnsi="宋体" w:eastAsia="宋体"/>
                <w:sz w:val="19"/>
              </w:rPr>
              <w:t>；以专业证据和追加实际主体为条件</w:t>
            </w:r>
          </w:p>
        </w:tc>
      </w:tr>
      <w:tr>
        <w:tc>
          <w:tcPr>
            <w:tcW w:type="dxa" w:w="112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恢复至不低于2023年报告所载历史安全状态</w:t>
            </w:r>
          </w:p>
        </w:tc>
        <w:tc>
          <w:tcPr>
            <w:tcW w:type="dxa" w:w="112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调解约定或专业验收条件</w:t>
            </w:r>
          </w:p>
        </w:tc>
        <w:tc>
          <w:tcPr>
            <w:tcW w:type="dxa" w:w="112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取决于责任主体</w:t>
            </w:r>
          </w:p>
        </w:tc>
        <w:tc>
          <w:tcPr>
            <w:tcW w:type="dxa" w:w="112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完整2023报告缺失，现仅裁判转述主体结构B级</w:t>
            </w:r>
          </w:p>
        </w:tc>
        <w:tc>
          <w:tcPr>
            <w:tcW w:type="dxa" w:w="112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可比性未证</w:t>
            </w:r>
          </w:p>
        </w:tc>
        <w:tc>
          <w:tcPr>
            <w:tcW w:type="dxa" w:w="112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当前不可直接执行</w:t>
            </w:r>
          </w:p>
        </w:tc>
        <w:tc>
          <w:tcPr>
            <w:tcW w:type="dxa" w:w="112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政策无直接帮助</w:t>
            </w:r>
          </w:p>
        </w:tc>
        <w:tc>
          <w:tcPr>
            <w:tcW w:type="dxa" w:w="112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b/>
                <w:sz w:val="19"/>
              </w:rPr>
              <w:t>D级（判决）/C级（有条件调解）</w:t>
            </w:r>
          </w:p>
        </w:tc>
      </w:tr>
      <w:tr>
        <w:tc>
          <w:tcPr>
            <w:tcW w:type="dxa" w:w="112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判令实施“一屋一策”</w:t>
            </w:r>
          </w:p>
        </w:tc>
        <w:tc>
          <w:tcPr>
            <w:tcW w:type="dxa" w:w="112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非独立民事请求权；可基于协议</w:t>
            </w:r>
          </w:p>
        </w:tc>
        <w:tc>
          <w:tcPr>
            <w:tcW w:type="dxa" w:w="112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科棚是否实施主体未证</w:t>
            </w:r>
          </w:p>
        </w:tc>
        <w:tc>
          <w:tcPr>
            <w:tcW w:type="dxa" w:w="112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无12号方案和角色材料</w:t>
            </w:r>
          </w:p>
        </w:tc>
        <w:tc>
          <w:tcPr>
            <w:tcW w:type="dxa" w:w="112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不适用传统侵权因果</w:t>
            </w:r>
          </w:p>
        </w:tc>
        <w:tc>
          <w:tcPr>
            <w:tcW w:type="dxa" w:w="112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审批、技术、资金复杂</w:t>
            </w:r>
          </w:p>
        </w:tc>
        <w:tc>
          <w:tcPr>
            <w:tcW w:type="dxa" w:w="112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政策明确提供路径</w:t>
            </w:r>
          </w:p>
        </w:tc>
        <w:tc>
          <w:tcPr>
            <w:tcW w:type="dxa" w:w="112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b/>
                <w:sz w:val="19"/>
              </w:rPr>
              <w:t>C级</w:t>
            </w:r>
            <w:r>
              <w:rPr>
                <w:rFonts w:ascii="宋体" w:hAnsi="宋体" w:eastAsia="宋体"/>
                <w:sz w:val="19"/>
              </w:rPr>
              <w:t>；由开福棚改投或实际主体参与调解</w:t>
            </w:r>
          </w:p>
        </w:tc>
      </w:tr>
      <w:tr>
        <w:tc>
          <w:tcPr>
            <w:tcW w:type="dxa" w:w="112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判令实施有机更新</w:t>
            </w:r>
          </w:p>
        </w:tc>
        <w:tc>
          <w:tcPr>
            <w:tcW w:type="dxa" w:w="112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非明确民事责任方式</w:t>
            </w:r>
          </w:p>
        </w:tc>
        <w:tc>
          <w:tcPr>
            <w:tcW w:type="dxa" w:w="112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科棚实施能力和义务未证</w:t>
            </w:r>
          </w:p>
        </w:tc>
        <w:tc>
          <w:tcPr>
            <w:tcW w:type="dxa" w:w="112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不足</w:t>
            </w:r>
          </w:p>
        </w:tc>
        <w:tc>
          <w:tcPr>
            <w:tcW w:type="dxa" w:w="112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不足</w:t>
            </w:r>
          </w:p>
        </w:tc>
        <w:tc>
          <w:tcPr>
            <w:tcW w:type="dxa" w:w="112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概念和项目程序不明</w:t>
            </w:r>
          </w:p>
        </w:tc>
        <w:tc>
          <w:tcPr>
            <w:tcW w:type="dxa" w:w="112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支持方向但非请求权</w:t>
            </w:r>
          </w:p>
        </w:tc>
        <w:tc>
          <w:tcPr>
            <w:tcW w:type="dxa" w:w="112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b/>
                <w:sz w:val="19"/>
              </w:rPr>
              <w:t>D级判项/C级调解</w:t>
            </w:r>
          </w:p>
        </w:tc>
      </w:tr>
      <w:tr>
        <w:tc>
          <w:tcPr>
            <w:tcW w:type="dxa" w:w="112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判令原拆原建</w:t>
            </w:r>
          </w:p>
        </w:tc>
        <w:tc>
          <w:tcPr>
            <w:tcW w:type="dxa" w:w="112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非当然民事请求权</w:t>
            </w:r>
          </w:p>
        </w:tc>
        <w:tc>
          <w:tcPr>
            <w:tcW w:type="dxa" w:w="112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科棚无单方实施权</w:t>
            </w:r>
          </w:p>
        </w:tc>
        <w:tc>
          <w:tcPr>
            <w:tcW w:type="dxa" w:w="112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无不可修论证、业主表决和审批</w:t>
            </w:r>
          </w:p>
        </w:tc>
        <w:tc>
          <w:tcPr>
            <w:tcW w:type="dxa" w:w="112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不足</w:t>
            </w:r>
          </w:p>
        </w:tc>
        <w:tc>
          <w:tcPr>
            <w:tcW w:type="dxa" w:w="112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极低</w:t>
            </w:r>
          </w:p>
        </w:tc>
        <w:tc>
          <w:tcPr>
            <w:tcW w:type="dxa" w:w="112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政策“支持”同时受老城保护严格限制</w:t>
            </w:r>
          </w:p>
        </w:tc>
        <w:tc>
          <w:tcPr>
            <w:tcW w:type="dxa" w:w="112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b/>
                <w:sz w:val="19"/>
              </w:rPr>
              <w:t>D级判项/C级条件调解</w:t>
            </w:r>
          </w:p>
        </w:tc>
      </w:tr>
      <w:tr>
        <w:tc>
          <w:tcPr>
            <w:tcW w:type="dxa" w:w="112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判令收购或置换</w:t>
            </w:r>
          </w:p>
        </w:tc>
        <w:tc>
          <w:tcPr>
            <w:tcW w:type="dxa" w:w="112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合同自愿原则；非强制收购义务</w:t>
            </w:r>
          </w:p>
        </w:tc>
        <w:tc>
          <w:tcPr>
            <w:tcW w:type="dxa" w:w="112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科棚是否买方完全取决于自愿和授权</w:t>
            </w:r>
          </w:p>
        </w:tc>
        <w:tc>
          <w:tcPr>
            <w:tcW w:type="dxa" w:w="112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无强制义务证据</w:t>
            </w:r>
          </w:p>
        </w:tc>
        <w:tc>
          <w:tcPr>
            <w:tcW w:type="dxa" w:w="112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不适用</w:t>
            </w:r>
          </w:p>
        </w:tc>
        <w:tc>
          <w:tcPr>
            <w:tcW w:type="dxa" w:w="112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非自愿判项不可执行</w:t>
            </w:r>
          </w:p>
        </w:tc>
        <w:tc>
          <w:tcPr>
            <w:tcW w:type="dxa" w:w="112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市场化收购获政策认可</w:t>
            </w:r>
          </w:p>
        </w:tc>
        <w:tc>
          <w:tcPr>
            <w:tcW w:type="dxa" w:w="112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b/>
                <w:sz w:val="19"/>
              </w:rPr>
              <w:t>C级</w:t>
            </w:r>
            <w:r>
              <w:rPr>
                <w:rFonts w:ascii="宋体" w:hAnsi="宋体" w:eastAsia="宋体"/>
                <w:sz w:val="19"/>
              </w:rPr>
              <w:t>；仅作调解，不暴露价格底线</w:t>
            </w:r>
          </w:p>
        </w:tc>
      </w:tr>
      <w:tr>
        <w:tc>
          <w:tcPr>
            <w:tcW w:type="dxa" w:w="112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诉讼费用</w:t>
            </w:r>
          </w:p>
        </w:tc>
        <w:tc>
          <w:tcPr>
            <w:tcW w:type="dxa" w:w="112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民诉法及费用办法</w:t>
            </w:r>
          </w:p>
        </w:tc>
        <w:tc>
          <w:tcPr>
            <w:tcW w:type="dxa" w:w="112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是</w:t>
            </w:r>
          </w:p>
        </w:tc>
        <w:tc>
          <w:tcPr>
            <w:tcW w:type="dxa" w:w="112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随裁判结果</w:t>
            </w:r>
          </w:p>
        </w:tc>
        <w:tc>
          <w:tcPr>
            <w:tcW w:type="dxa" w:w="112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不适用</w:t>
            </w:r>
          </w:p>
        </w:tc>
        <w:tc>
          <w:tcPr>
            <w:tcW w:type="dxa" w:w="112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高</w:t>
            </w:r>
          </w:p>
        </w:tc>
        <w:tc>
          <w:tcPr>
            <w:tcW w:type="dxa" w:w="112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无</w:t>
            </w:r>
          </w:p>
        </w:tc>
        <w:tc>
          <w:tcPr>
            <w:tcW w:type="dxa" w:w="112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b/>
                <w:sz w:val="19"/>
              </w:rPr>
              <w:t>A级</w:t>
            </w:r>
            <w:r>
              <w:rPr>
                <w:rFonts w:ascii="宋体" w:hAnsi="宋体" w:eastAsia="宋体"/>
                <w:sz w:val="19"/>
              </w:rPr>
              <w:t>；保留</w:t>
            </w:r>
          </w:p>
        </w:tc>
      </w:tr>
    </w:tbl>
    <w:p>
      <w:pPr>
        <w:spacing w:after="20"/>
      </w:pPr>
    </w:p>
    <w:p>
      <w:pPr>
        <w:pStyle w:val="Heading1"/>
      </w:pPr>
      <w:r>
        <w:t>四、推荐版正式诉讼请求</w:t>
      </w:r>
    </w:p>
    <w:p>
      <w:pPr>
        <w:spacing w:line="360" w:lineRule="auto" w:after="120" w:before="80"/>
        <w:ind w:left="397" w:right="170" w:firstLine="0"/>
        <w:shd w:fill="EDF2F7"/>
      </w:pPr>
      <w:r>
        <w:rPr>
          <w:rFonts w:ascii="宋体" w:hAnsi="宋体" w:eastAsia="宋体"/>
          <w:color w:val="17365D"/>
          <w:sz w:val="24"/>
        </w:rPr>
        <w:t>下列文本必须与补充证据、现场点位附图和是否追加开福棚改投同步调整。方括号内容在提交前填实；证据未补强的分项不得直接照搬。</w:t>
      </w:r>
    </w:p>
    <w:p>
      <w:pPr>
        <w:pStyle w:val="Heading2"/>
      </w:pPr>
      <w:r>
        <w:t>A. 建议正式向法院请求判决的内容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判令被告及受其指派、委托或者组织的人员，在未取得原告同意、有效授权或者其他法定依据并履行必要通知程序的情况下，不得进入原告所有的长沙市开福区楠木厅巷12号东301房；不得实施钻孔、凿墙、开槽、取样或者其他改变房屋物理状态的侵入性行为，但为应对现实紧急危险依法采取必要措施的情形除外。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判令被告于判决生效之日起[十五]日内，对经现场勘验确认且由其或者执行其工作任务人员造成的东301房[附图P1—P4点位]孔洞、剔凿及相关损坏采取符合现行安全标准的修复措施，并提交施工记录及完成前后影像；对修复质量有争议的，由双方共同选定或人民法院指定的具备相应能力的机构核验。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判令对经现场勘验确认由被告形成、遗留或者依法由其负责清除的[附图G1—G__点位]检测废料、施工残留予以清除，并恢复该区域正常、安全通行和使用条件。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在查明被告系围挡设置或控制主体后，判令其于判决生效之日起[十]日内拆移[附图W1区段]超过安全防护必要范围的障碍；如现实安全风险确需保留防护，应在同一期限内提供原告能够持续、安全进出东301的替代通道并明确管理方式。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在专业检测证明被告行为造成[附图D1管段]破损、堵塞或功能异常后，判令其于判决生效之日起[三十]日内修复该管段，经通水试验达到排水通畅、无异常倒灌、漫溢的功能标准。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在专业意见能够证明被告行为导致相应构件安全性能降低的范围内，判令其采取必要修缮、修复或加固措施，使该构件符合现行强制性安全标准并恢复正常、安全使用功能；不得将整栋楼自然老化、既往施工或他人行为造成的费用概括归于被告。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判令被告承担依法应负担的诉讼费用。</w:t>
      </w:r>
    </w:p>
    <w:p>
      <w:pPr>
        <w:spacing w:line="360" w:lineRule="auto" w:after="100"/>
        <w:ind w:firstLine="420"/>
      </w:pPr>
      <w:r>
        <w:rPr>
          <w:rFonts w:ascii="宋体" w:hAnsi="宋体" w:eastAsia="宋体"/>
          <w:sz w:val="24"/>
        </w:rPr>
        <w:t>说明：若第3—6项主要指向开福棚改投的管理、改造职责，应在其参加诉讼并分列行为和义务后提出；若证据仍不能达到证明标准，暂缓或限缩，不以抽象“恢复原状”替代。</w:t>
      </w:r>
    </w:p>
    <w:p>
      <w:pPr>
        <w:pStyle w:val="Heading2"/>
      </w:pPr>
      <w:r>
        <w:t>B. 不建议直接判决、建议作为调解目标的内容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由开福棚改投或查明的实际实施主体在固定期限内编制楠木厅12号“一屋一策”，覆盖结构、排水、通行、消防、修缮、使用功能、保护要求、预算、审批及实施期限。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经共同选定专业机构评估后实施整体修缮、加固，并完成复核和危险房屋系统销号；如完整报告证明可比，可将历史B级状态作为辅助验收条件。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依法纳入城市更新项目，按“专项规划—片区策划—项目实施方案”办理审批并实施。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仅在专业论证认为修缮加固不合理或不可行、全体相关权利人依法决策并取得历史文化保护、规划、建设等批准后，实施原拆原建。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各方自愿达成市场化现金收购、住宅或商业物业置换、现金与物业组合方案，并一并处理搬迁、交付、登记、税费和诉讼终结。</w:t>
      </w:r>
    </w:p>
    <w:sectPr w:rsidR="00FC693F" w:rsidRPr="0006063C" w:rsidSect="00034616">
      <w:footerReference w:type="default" r:id="rId9"/>
      <w:pgSz w:w="11906" w:h="16838"/>
      <w:pgMar w:top="1474" w:right="1417" w:bottom="1361" w:left="1531" w:header="680" w:footer="68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宋体" w:hAnsi="宋体" w:eastAsia="宋体"/>
        <w:color w:val="5F6B78"/>
        <w:sz w:val="17"/>
      </w:rPr>
      <w:t xml:space="preserve">楠木厅12号案 · 2026年8月核验版  |  </w:t>
    </w:r>
    <w:r>
      <w:rPr>
        <w:rFonts w:ascii="宋体" w:hAnsi="宋体" w:eastAsia="宋体"/>
        <w:color w:val="5F6B78"/>
        <w:sz w:val="18"/>
      </w:rPr>
      <w:fldChar w:fldCharType="begin"/>
      <w:instrText xml:space="preserve"> PAGE 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line="360" w:lineRule="auto" w:after="100"/>
    </w:pPr>
    <w:rPr>
      <w:rFonts w:ascii="宋体" w:hAnsi="宋体" w:eastAsia="宋体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20"/>
      <w:outlineLvl w:val="0"/>
    </w:pPr>
    <w:rPr>
      <w:rFonts w:asciiTheme="majorHAnsi" w:eastAsiaTheme="majorEastAsia" w:hAnsiTheme="majorHAnsi" w:cstheme="majorBidi" w:ascii="黑体" w:hAnsi="黑体" w:eastAsia="黑体"/>
      <w:b/>
      <w:bCs/>
      <w:color w:val="17365D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20"/>
      <w:outlineLvl w:val="1"/>
    </w:pPr>
    <w:rPr>
      <w:rFonts w:asciiTheme="majorHAnsi" w:eastAsiaTheme="majorEastAsia" w:hAnsiTheme="majorHAnsi" w:cstheme="majorBidi" w:ascii="黑体" w:hAnsi="黑体" w:eastAsia="黑体"/>
      <w:b/>
      <w:bCs/>
      <w:color w:val="17365D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20"/>
      <w:outlineLvl w:val="2"/>
    </w:pPr>
    <w:rPr>
      <w:rFonts w:asciiTheme="majorHAnsi" w:eastAsiaTheme="majorEastAsia" w:hAnsiTheme="majorHAnsi" w:cstheme="majorBidi" w:ascii="黑体" w:hAnsi="黑体" w:eastAsia="黑体"/>
      <w:b/>
      <w:bCs/>
      <w:color w:val="17365D"/>
      <w:sz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120"/>
      <w:outlineLvl w:val="3"/>
    </w:pPr>
    <w:rPr>
      <w:rFonts w:asciiTheme="majorHAnsi" w:eastAsiaTheme="majorEastAsia" w:hAnsiTheme="majorHAnsi" w:cstheme="majorBidi" w:ascii="黑体" w:hAnsi="黑体" w:eastAsia="黑体"/>
      <w:b/>
      <w:bCs/>
      <w:i/>
      <w:iCs/>
      <w:color w:val="17365D"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新版诉讼请求评估</dc:title>
  <dc:subject>楠木厅12号排除妨害纠纷专题材料</dc:subject>
  <dc:creator>案件代理工作组</dc:creator>
  <cp:keywords>排除妨害; 城市更新; 潮宗街; 房屋安全; 调解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