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>
      <w:pPr>
        <w:spacing w:after="360"/>
        <w:jc w:val="center"/>
      </w:pPr>
      <w:r>
        <w:rPr>
          <w:rFonts w:ascii="方正小标宋简体" w:hAnsi="方正小标宋简体" w:eastAsia="方正小标宋简体"/>
          <w:b/>
          <w:color w:val="17365D"/>
          <w:sz w:val="48"/>
        </w:rPr>
        <w:t>城市更新政策证据与调查取证清单</w:t>
      </w:r>
    </w:p>
    <w:p>
      <w:pPr>
        <w:jc w:val="center"/>
      </w:pPr>
      <w:r>
        <w:rPr>
          <w:rFonts w:ascii="宋体" w:hAnsi="宋体" w:eastAsia="宋体"/>
          <w:color w:val="5F6B78"/>
          <w:sz w:val="24"/>
        </w:rPr>
        <w:t>李运芳诉长沙科棚潮宗街商业管理有限公司排除妨害纠纷案</w:t>
      </w:r>
    </w:p>
    <w:p>
      <w:pPr>
        <w:spacing w:before="2800"/>
        <w:jc w:val="center"/>
      </w:pPr>
      <w:r>
        <w:rPr>
          <w:rFonts w:ascii="宋体" w:hAnsi="宋体" w:eastAsia="宋体"/>
          <w:color w:val="5F6B78"/>
          <w:sz w:val="22"/>
        </w:rPr>
        <w:t>原始材料与官方法源核验 · 2026年8月14日</w:t>
      </w:r>
    </w:p>
    <w:p>
      <w:r>
        <w:br w:type="page"/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792"/>
        <w:gridCol w:w="1792"/>
        <w:gridCol w:w="1792"/>
        <w:gridCol w:w="1792"/>
        <w:gridCol w:w="1792"/>
      </w:tblGrid>
      <w:tr>
        <w:trPr>
          <w:tblHeader/>
        </w:trPr>
        <w:tc>
          <w:tcPr>
            <w:tcW w:type="dxa" w:w="1792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编号</w:t>
            </w:r>
          </w:p>
        </w:tc>
        <w:tc>
          <w:tcPr>
            <w:tcW w:type="dxa" w:w="1792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资料</w:t>
            </w:r>
          </w:p>
        </w:tc>
        <w:tc>
          <w:tcPr>
            <w:tcW w:type="dxa" w:w="1792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核心问题</w:t>
            </w:r>
          </w:p>
        </w:tc>
        <w:tc>
          <w:tcPr>
            <w:tcW w:type="dxa" w:w="1792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首选取得方式</w:t>
            </w:r>
          </w:p>
        </w:tc>
        <w:tc>
          <w:tcPr>
            <w:tcW w:type="dxa" w:w="1792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备选方式</w:t>
            </w:r>
          </w:p>
        </w:tc>
      </w:tr>
      <w:tr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1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潮宗街片区城市更新策划及附图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12号是否位于片区、更新类型和保护要求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政府信息公开：开福区政府/市人居环境局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法院调查</w:t>
            </w:r>
          </w:p>
        </w:tc>
      </w:tr>
      <w:tr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2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2026—2030城市更新项目库及年度计划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12号是否入库、项目名称和阶段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政府信息公开：市人居环境局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法院调查</w:t>
            </w:r>
          </w:p>
        </w:tc>
      </w:tr>
      <w:tr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3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楠木厅12号入库审核或未入库说明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四种处置情形中属于哪一种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政府信息公开：开福区政府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要求开福棚改投提交</w:t>
            </w:r>
          </w:p>
        </w:tc>
      </w:tr>
      <w:tr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4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楠木厅12号“一房一策”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2023交办后责任人、方式、资金、期限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政府信息公开：通泰街道/开福区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法院调查开福棚改投</w:t>
            </w:r>
          </w:p>
        </w:tc>
      </w:tr>
      <w:tr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5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楠木厅12号“一屋一策”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2026历史街区保护治理方案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政府信息公开：资规/文旅/开福区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法院调查</w:t>
            </w:r>
          </w:p>
        </w:tc>
      </w:tr>
      <w:tr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6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危旧住房治理清单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是否列入C/D治理、当前状态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政府信息公开：市住建/开福区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法院调查</w:t>
            </w:r>
          </w:p>
        </w:tc>
      </w:tr>
      <w:tr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7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房屋体检资料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体检时间、指标、风险问题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政府信息公开：市人居环境局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要求实施主体提交</w:t>
            </w:r>
          </w:p>
        </w:tc>
      </w:tr>
      <w:tr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8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风险问题清单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结构、排水、通行、消防的编号及等级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政府信息公开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法院调查</w:t>
            </w:r>
          </w:p>
        </w:tc>
      </w:tr>
      <w:tr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9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问题闭环处置记录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交办、整改、复核、销号全过程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政府信息公开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法院调查</w:t>
            </w:r>
          </w:p>
        </w:tc>
      </w:tr>
      <w:tr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10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楠木厅12号治理责任主体文件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谁负责组织、出资、申报和实施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政府信息公开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要求被告/开福棚改投提交</w:t>
            </w:r>
          </w:p>
        </w:tc>
      </w:tr>
      <w:tr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11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项目实施主体确认文件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是否为开福棚改投、北城资产或其他主体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政府信息公开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法院调查</w:t>
            </w:r>
          </w:p>
        </w:tc>
      </w:tr>
      <w:tr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12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资金计划、预算和专项奖补申请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治理是否因资金未落实停滞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政府信息公开（可分割公开）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要求实施主体提交</w:t>
            </w:r>
          </w:p>
        </w:tc>
      </w:tr>
      <w:tr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13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修缮、加固设计与审批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已有何工程方案，是否实施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法院调查；要求开福棚改投提交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向住建档案查询</w:t>
            </w:r>
          </w:p>
        </w:tc>
      </w:tr>
      <w:tr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14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原拆原建可行性论证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是否讨论过、保护和规划结论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政府信息公开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调解中共同委托</w:t>
            </w:r>
          </w:p>
        </w:tc>
      </w:tr>
      <w:tr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15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未实施原因说明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征收终止、产权、保护、资金还是审批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政府信息公开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法院询问相关主体</w:t>
            </w:r>
          </w:p>
        </w:tc>
      </w:tr>
      <w:tr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16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2015棚改批复及后续变更/撤销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开福棚改投职责现状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法院调查/要求提交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政府信息公开</w:t>
            </w:r>
          </w:p>
        </w:tc>
      </w:tr>
      <w:tr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17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开福棚改投具体职责、项目合同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管理、改造、鉴定、加固和治理范围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要求开福棚改投提交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法院调查</w:t>
            </w:r>
          </w:p>
        </w:tc>
      </w:tr>
      <w:tr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18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科棚运营、委托和服务合同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科棚真实项目角色和授权边界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书证提出命令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法院调查</w:t>
            </w:r>
          </w:p>
        </w:tc>
      </w:tr>
      <w:tr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19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科棚与“城投”沟通、派工、费用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垃圾协调身份和处置能力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要求科棚提交；自行提交微信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法院调查实施主体</w:t>
            </w:r>
          </w:p>
        </w:tc>
      </w:tr>
      <w:tr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20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2026潮宗街安全鉴定采购地址清单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是否包含12号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政府信息公开：北城资产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法院调查采购人</w:t>
            </w:r>
          </w:p>
        </w:tc>
      </w:tr>
      <w:tr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21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12号2026鉴定报告和整改建议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当前等级、问题和治理要求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法院调查/书证提出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政府信息公开可分割部分</w:t>
            </w:r>
          </w:p>
        </w:tc>
      </w:tr>
      <w:tr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22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潮宗街保护规划、保护范围图和名录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12号是否历史建筑或传统风貌建筑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政府信息公开：市资规/文旅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自行搜集官方规划公示</w:t>
            </w:r>
          </w:p>
        </w:tc>
      </w:tr>
      <w:tr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23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整栋产权登记簿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其他业主及共有程序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法院调查登记机关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产权人依法查询</w:t>
            </w:r>
          </w:p>
        </w:tc>
      </w:tr>
      <w:tr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24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征收、收购、终止和产权注销恢复材料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产权遗留全链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政府信息公开/法院调查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要求开福棚改投提交</w:t>
            </w:r>
          </w:p>
        </w:tc>
      </w:tr>
      <w:tr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25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省市专项资金政策和项目申报结果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有无政策资金路径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自行搜集官方文件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政府信息公开</w:t>
            </w:r>
          </w:p>
        </w:tc>
      </w:tr>
    </w:tbl>
    <w:p>
      <w:pPr>
        <w:spacing w:after="20"/>
      </w:pPr>
    </w:p>
    <w:p>
      <w:pPr>
        <w:pStyle w:val="Heading1"/>
      </w:pPr>
      <w:r>
        <w:t>使用边界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项目库、片区策划和“一屋一策”属于行政规划、项目管理或治理资料，不因公开取得即产生对科棚的直接民事请求权。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实施主体文件、授权合同、派工付款可用于识别具体民事责任；官方新闻模式介绍不能替代。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如政府答复“无相关信息”，只能证明受理机关在其职责或检索范围内未制作、未获取，不能直接证明任何主体违法不履职。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信息公开材料形成后，应与生效裁判、鉴定报告、现场证据和公司关系证据交叉印证。</w:t>
      </w:r>
    </w:p>
    <w:sectPr w:rsidR="00FC693F" w:rsidRPr="0006063C" w:rsidSect="00034616">
      <w:footerReference w:type="default" r:id="rId9"/>
      <w:pgSz w:w="11906" w:h="16838"/>
      <w:pgMar w:top="1474" w:right="1417" w:bottom="1361" w:left="1531" w:header="68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宋体" w:hAnsi="宋体" w:eastAsia="宋体"/>
        <w:color w:val="5F6B78"/>
        <w:sz w:val="17"/>
      </w:rPr>
      <w:t xml:space="preserve">楠木厅12号案 · 2026年8月核验版  |  </w:t>
    </w:r>
    <w:r>
      <w:rPr>
        <w:rFonts w:ascii="宋体" w:hAnsi="宋体" w:eastAsia="宋体"/>
        <w:color w:val="5F6B78"/>
        <w:sz w:val="18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360" w:lineRule="auto" w:after="100"/>
    </w:pPr>
    <w:rPr>
      <w:rFonts w:ascii="宋体" w:hAnsi="宋体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黑体" w:hAnsi="黑体" w:eastAsia="黑体"/>
      <w:b/>
      <w:bCs/>
      <w:color w:val="17365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黑体" w:hAnsi="黑体" w:eastAsia="黑体"/>
      <w:b/>
      <w:bCs/>
      <w:color w:val="17365D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 w:ascii="黑体" w:hAnsi="黑体" w:eastAsia="黑体"/>
      <w:b/>
      <w:bCs/>
      <w:color w:val="17365D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120"/>
      <w:outlineLvl w:val="3"/>
    </w:pPr>
    <w:rPr>
      <w:rFonts w:asciiTheme="majorHAnsi" w:eastAsiaTheme="majorEastAsia" w:hAnsiTheme="majorHAnsi" w:cstheme="majorBidi" w:ascii="黑体" w:hAnsi="黑体" w:eastAsia="黑体"/>
      <w:b/>
      <w:bCs/>
      <w:i/>
      <w:iCs/>
      <w:color w:val="17365D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城市更新政策证据与调查取证清单</dc:title>
  <dc:subject>楠木厅12号排除妨害纠纷专题材料</dc:subject>
  <dc:creator>案件代理工作组</dc:creator>
  <cp:keywords>排除妨害; 城市更新; 潮宗街; 房屋安全; 调解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