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000000"/>
          <w:sz w:val="44"/>
        </w:rPr>
        <w:t>变更、明确诉讼请求申请书（建议稿）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申请人（原告）：李运芳，身份及送达地址以本案卷宗记载为准。 被申请人（被告）：长沙科棚潮宗街商业管理有限公司。 案由：排除妨害纠纷。 案号：〔提交前据传票填写〕。</w:t>
      </w:r>
    </w:p>
    <w:p>
      <w:pPr>
        <w:pStyle w:val="Heading1"/>
      </w:pPr>
      <w:r>
        <w:t>申请事项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申请人请求在人民法院依法释明并完成必要现场勘验后，将原起诉状中涉及被告直接行为的诉讼请求明确如下：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被告停止擅自进入申请人所有的长沙市开福区楠木厅巷12号东301房并实施钻孔、凿墙、开槽、取样或者其他改变房屋物理状态的行为。前述“擅自”包括缺乏合法权限来源、超出权限的对象或范围，或者虽有相应权限来源但未履行必要通知、说明及其他法定程序的情形；依法实施的紧急避险，以及具有合法权限并依法履行必要程序的安全鉴定、维修或者治理不在本项请求范围内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被告于判决生效之日起三十日内，对《损坏点位、修复措施、期限与验收附件》所列P1、P2、P4点位，以及经现场勘验确认不与前述点位重复的P3点位，采取与原墙体构造相适应且不降低结构安全、防火性能和正常使用功能的措施完成修复，并清除该项修复产生或者遗留的废料。若经勘验或专业意见确认相关点位涉及承重构件、抗震构造或者其他结构安全事项，被告应当先由具备相应资质的单位提出修复方案，并按照经审查确认的方案施工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判令被告承担依法应由其负担的本案诉讼费用。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对建筑废料、排水、围挡、共有通道及整栋修缮加固等事项，申请人请求人民法院先行组织现场勘验、调查设置或控制主体并给予相应举证期限。申请人将在取得点位、控制主体、因果关系和履行标准的证据后，在人民法院指定期限内依法决定是否进一步明确、变更有关请求。若有关请求直接指向长沙市开福棚改投资有限责任公司的管理、改造职责，申请人将另行提出追加共同被告及分列诉讼请求申请，不以两公司关联关系主张责任当然传导。</w:t>
      </w:r>
    </w:p>
    <w:p>
      <w:pPr>
        <w:pStyle w:val="Heading1"/>
      </w:pPr>
      <w:r>
        <w:t>事实与理由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申请人系涉案房屋所有权人，依法有权对其专有部分遭受的现实妨害和具体毁损请求保护。原起诉状使用“恢复原状”等概括表述，尚不足以准确反映不同事项的责任基础和履行标准。为使审理对象、举证范围及可能的裁判主文更加明确，申请人将针对被告直接行为的请求限定为东301专有部分的擅自进入、侵入性操作及对应点位修复；对共有区域和整栋治理事项，则待查明管理、设置、控制及实际履行主体后依法处理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现有四张照片能够反映画面所示部位存在墙面剔凿、开槽、孔洞及碎屑的外观，但照片本身尚不能独立证明拍摄地点、形成时间、具体行为人和因果关系。申请人已申请调查公安接处警材料、鉴定委托及点位记录、现场人员资料，并申请现场勘验。本申请不以请求明确化替代上述事实的举证；被告是否承担第二项修复责任，仍以法庭查明其直接组织、指示、实施，或者其工作人员执行工作任务造成相应损坏为前提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申请人不拒绝具备合法权限、履行必要程序并遵守损害最小化要求的安全鉴定、维修或治理。申请人请求制止和修复的是缺乏合法依据、超越权限范围或程序不完备的侵入性行为及其造成的具体损坏，不是要求人民法院直接决定城市更新、“一屋一策”或者原拆原建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据此，请依法准许。</w:t>
      </w:r>
    </w:p>
    <w:p>
      <w:pPr>
        <w:spacing w:line="360" w:lineRule="auto" w:after="100"/>
      </w:pPr>
      <w:r>
        <w:rPr>
          <w:rFonts w:ascii="宋体" w:hAnsi="宋体" w:eastAsia="宋体"/>
          <w:sz w:val="24"/>
        </w:rPr>
        <w:t>此致 长沙市开福区人民法院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申请人：李运芳 委托诉讼代理人：_______________ 日期：_______年____月____日</w:t>
      </w:r>
    </w:p>
    <w:p>
      <w:pPr>
        <w:pStyle w:val="Heading1"/>
      </w:pPr>
      <w:r>
        <w:t>提交前核对提示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本建议稿仅适用于“先审理科棚直接进入及具体损坏”的窄诉请路径。正式提交前必须完成：案号、日期、房屋门牌同一性、P1至P4现场位置、照片原始载体、科棚行为归属证据及代理权限核对。若原告决定保留整栋排水、围挡、建筑废料、修缮加固等广泛请求，应先申请追加开福棚改投为共同被告并另行分列请求，不应直接提交本窄版建议稿替代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变更明确诉讼请求申请书_建议稿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