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方正小标宋简体" w:hAnsi="方正小标宋简体" w:eastAsia="方正小标宋简体"/>
          <w:b/>
          <w:color w:val="17365D"/>
          <w:sz w:val="48"/>
        </w:rPr>
        <w:t>Legal Reviewer 独立审查报告（V1）</w:t>
      </w:r>
    </w:p>
    <w:p>
      <w:pPr>
        <w:jc w:val="center"/>
      </w:pPr>
      <w:r>
        <w:rPr>
          <w:rFonts w:ascii="宋体" w:hAnsi="宋体" w:eastAsia="宋体"/>
          <w:color w:val="5F6B78"/>
          <w:sz w:val="24"/>
        </w:rPr>
        <w:t>李运芳诉长沙科棚潮宗街商业管理有限公司排除妨害纠纷案</w:t>
      </w:r>
    </w:p>
    <w:p>
      <w:pPr>
        <w:spacing w:before="2800"/>
        <w:jc w:val="center"/>
      </w:pPr>
      <w:r>
        <w:rPr>
          <w:rFonts w:ascii="宋体" w:hAnsi="宋体" w:eastAsia="宋体"/>
          <w:color w:val="5F6B78"/>
          <w:sz w:val="22"/>
        </w:rPr>
        <w:t>原始材料与官方法源核验 · 2026年8月14日</w:t>
      </w:r>
    </w:p>
    <w:p>
      <w:r>
        <w:br w:type="page"/>
      </w:r>
    </w:p>
    <w:p>
      <w:pPr>
        <w:spacing w:line="360" w:lineRule="auto" w:after="100"/>
        <w:ind w:firstLine="420"/>
      </w:pPr>
      <w:r>
        <w:rPr>
          <w:rFonts w:ascii="宋体" w:hAnsi="宋体" w:eastAsia="宋体"/>
          <w:sz w:val="24"/>
        </w:rPr>
        <w:t>审查对象：新版代理意见_长沙城市更新政策综合重构版_V1.md 审查角色：资深民事法官、物权律师、民事诉讼法专家 审查日期：2026年8月14日</w:t>
      </w:r>
    </w:p>
    <w:p>
      <w:pPr>
        <w:pStyle w:val="Heading1"/>
      </w:pPr>
      <w:r>
        <w:t>一、总评结论</w:t>
      </w:r>
    </w:p>
    <w:p>
      <w:pPr>
        <w:spacing w:line="360" w:lineRule="auto" w:after="100"/>
        <w:ind w:firstLine="420"/>
      </w:pPr>
      <w:r>
        <w:rPr>
          <w:rFonts w:ascii="宋体" w:hAnsi="宋体" w:eastAsia="宋体"/>
          <w:sz w:val="24"/>
        </w:rPr>
        <w:t>V1的方向基本正确，尤其做对了四件事：一是没有把城市更新政策写成科棚当然承担原拆原建、收购或者整体更新义务的直接请求权基础；二是准确纠正了报警回执、B/C鉴定时间线和诉后垃圾处置证据的证明边界；三是区分了科棚被告主体适格与每一实体请求是否成立；四是明确提出裁判应当主要确定具体结果，复杂更新路径更适合调解。</w:t>
      </w:r>
    </w:p>
    <w:p>
      <w:pPr>
        <w:spacing w:line="360" w:lineRule="auto" w:after="100"/>
        <w:ind w:firstLine="420"/>
      </w:pPr>
      <w:r>
        <w:rPr>
          <w:rFonts w:ascii="宋体" w:hAnsi="宋体" w:eastAsia="宋体"/>
          <w:sz w:val="24"/>
        </w:rPr>
        <w:t>但V1目前</w:t>
      </w:r>
      <w:r>
        <w:rPr>
          <w:rFonts w:ascii="宋体" w:hAnsi="宋体" w:eastAsia="宋体"/>
          <w:b/>
          <w:sz w:val="24"/>
        </w:rPr>
        <w:t>不宜直接作为最终提交版放行</w:t>
      </w:r>
      <w:r>
        <w:rPr>
          <w:rFonts w:ascii="宋体" w:hAnsi="宋体" w:eastAsia="宋体"/>
          <w:sz w:val="24"/>
        </w:rPr>
        <w:t>。决定性问题不在政策研究，而在民事实体证明闭环：现有材料尚不能稳定证明科棚实施、组织或者指示了2026年入户钻孔，也不能证明现存建筑废料、排水异常、围挡控制和房屋安全状态分别与科棚存在因果关系或义务联系。V1虽然多次承认证据缺口，结论部分仍将“科棚具有被告主体适格性”与对其直接行为的待证事实并置，容易让法官认为原告试图以调查线索代替本证。</w:t>
      </w:r>
    </w:p>
    <w:p>
      <w:pPr>
        <w:spacing w:line="360" w:lineRule="auto" w:after="100"/>
        <w:ind w:firstLine="420"/>
      </w:pPr>
      <w:r>
        <w:rPr>
          <w:rFonts w:ascii="宋体" w:hAnsi="宋体" w:eastAsia="宋体"/>
          <w:sz w:val="24"/>
        </w:rPr>
        <w:t>另一个不能回避的不利法源是：《长沙市房屋安全管理条例》第九条明确房屋所有权人为房屋安全使用责任人，第十条、第二十五条要求责任人检查、治理隐患并对危险房屋采取治理防护措施；第二十条至第二十一条规定了安全鉴定的委托主体和主管部门代为委托机制。《城市危险房屋管理规定》第十六条、第十七条同样将及时解危、依鉴定建议加固或修缮的责任首先配置给房屋所有人。V1只引用第二十五条的“治理”结论，没有正面处理原告自身及其他产权人的安全治理义务，容易被被告反向利用。</w:t>
      </w:r>
    </w:p>
    <w:p>
      <w:pPr>
        <w:spacing w:line="360" w:lineRule="auto" w:after="100"/>
        <w:ind w:firstLine="420"/>
      </w:pPr>
      <w:r>
        <w:rPr>
          <w:rFonts w:ascii="宋体" w:hAnsi="宋体" w:eastAsia="宋体"/>
          <w:sz w:val="24"/>
        </w:rPr>
        <w:t>综合判断：V1是一份法律边界克制、政策核验较好的</w:t>
      </w:r>
      <w:r>
        <w:rPr>
          <w:rFonts w:ascii="宋体" w:hAnsi="宋体" w:eastAsia="宋体"/>
          <w:b/>
          <w:sz w:val="24"/>
        </w:rPr>
        <w:t>高质量内部审阅稿</w:t>
      </w:r>
      <w:r>
        <w:rPr>
          <w:rFonts w:ascii="宋体" w:hAnsi="宋体" w:eastAsia="宋体"/>
          <w:sz w:val="24"/>
        </w:rPr>
        <w:t>，但其主体归责、因果关系、请求具体化和不利法源回应尚未达到法院提交版标准。应在补证之前把主位裁判请求收窄到“东301专有部分的明确行为和明确损坏”，把共有系统、整体安全治理列为有条件的备位请求或调解事项。</w:t>
      </w:r>
    </w:p>
    <w:p>
      <w:pPr>
        <w:pStyle w:val="Heading1"/>
      </w:pPr>
      <w:r>
        <w:t>二、十五项评分</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评分项目</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得分</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核心理由</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 请求权基础</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87</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《民法典》第二百三十六条、第二百三十七条、第一千一百六十七条方向正确；但物权请求权与过错侵权、雇主责任、承揽人责任的适用条件仍未完整区分。</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 被告主体适格论证</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83</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已明确主体适格不等于全部实体责任；但现有原始证据尚未把2026年现场人员、行为与科棚稳定连接，“至少说明直接关联”的措辞仍偏强。</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3. 开福棚改投处理</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86</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准确援引生效行政裁判确认的管理、改造依据且未扩大为全部民事责任；但“共同被告或者第三人”的程序选择和诉请后果尚未写清。</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4. 鉴定权限分析</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79</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权限链清单完整；但直接套用《民法典》第一百六十五条、第一百六十九条分析现场作业权限并不总是合适，且没有正面回应所有权人配合鉴定、修缮的法定义务。</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 科棚—城投垃圾处置证据运用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明确采用条件式表述，正确否定“善意协调等于责任自认”；但尚无清运原始证据，正式代理意见不应让该线索占据与已证事实相同的篇幅。</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 因果关系</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62</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已提出“原状态—变化时间—行为主体—因果关系—修复方式—验收标准”，但现有证据未完成任何一项争议损坏对科棚的闭环。</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 恢复诉请可执行性</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71</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提出了点位、管段、通水试验、通行净宽等方向；仍无附件图、测量值、期限、修复标准和验收主体，尚不能直接转化为判决主文。</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 B/Bsu—C/Csu论证</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94</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准确识别2022年C/Csu、2023年加固后主体结构B级，不再错误叙述为“先B后C”，且正确拒绝在报告不可比时把B/Bsu写成裁判标准。</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 城市更新政策使用准确度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92</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文件名称、文号、施行期限及核心原文基本准确；对未施行办法、规划征求意见稿、项目采购文件的效力控制较好。</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10. 政策与直接请求权边界</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98</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全文持续区分政策路径与民事责任来源，是V1最强部分。</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11. 共有部分程序问题</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已注意《民诉法解释》第七十二条和业主共同决策；但未结合建筑物区分所有权司法解释第三条、第十四条给出更精确的“可单独起诉/必须参加”分界。</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12. 证据完整度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58</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报警完整材料、原始视频、现场人员身份、鉴定合同与付款、垃圾清运链、排水检测、围挡控制、当前安全报告、登记簿均缺失。</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13. 法官可接受程度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77</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克制、诚实、无明显政策越界；但篇幅较长、调查线索多于已证事实，法官可能认为原告尚未完成对核心侵害主体的初步证明。</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14. 调解方案成熟度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73</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已划分判决与调解并列出要素；尚未形成责任主体、期限、费用、审批失败替代方案和可执行给付条款完整的五档文本。</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15. 整体法律严谨度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法律框架较成熟，但不利法源、承揽责任、举证顺序、共有程序和精确判项仍需修订。</w:t>
            </w:r>
          </w:p>
        </w:tc>
      </w:tr>
    </w:tbl>
    <w:p>
      <w:pPr>
        <w:spacing w:after="20"/>
      </w:pPr>
    </w:p>
    <w:p>
      <w:pPr>
        <w:pStyle w:val="Heading1"/>
      </w:pPr>
      <w:r>
        <w:t>三、需要优先解决的十八项重大问题</w:t>
      </w:r>
    </w:p>
    <w:p>
      <w:pPr>
        <w:pStyle w:val="Heading2"/>
      </w:pPr>
      <w:r>
        <w:t>问题一：未正面处理原告作为所有权人的房屋安全使用责任</w:t>
      </w:r>
    </w:p>
    <w:p>
      <w:pPr>
        <w:spacing w:line="360" w:lineRule="auto" w:after="100"/>
        <w:ind w:firstLine="420"/>
      </w:pPr>
      <w:r>
        <w:rPr>
          <w:rFonts w:ascii="宋体" w:hAnsi="宋体" w:eastAsia="宋体"/>
          <w:b/>
          <w:sz w:val="24"/>
        </w:rPr>
        <w:t>严重度：97/100。</w:t>
      </w:r>
    </w:p>
    <w:p>
      <w:pPr>
        <w:spacing w:line="360" w:lineRule="auto" w:after="100"/>
        <w:ind w:firstLine="420"/>
      </w:pPr>
      <w:r>
        <w:rPr>
          <w:rFonts w:ascii="宋体" w:hAnsi="宋体" w:eastAsia="宋体"/>
          <w:sz w:val="24"/>
        </w:rPr>
        <w:t>《长沙市房屋安全管理条例》第九条规定房屋所有权人为房屋安全使用责任人，第十条规定责任人应检查房屋、及时治理隐患；第二十五条要求经鉴定为危险房屋的责任人及时采取治理防护措施。第二十条还规定，达到设计使用年限或者承重构件出现明显异常等情形的鉴定原则上由房屋安全使用责任人委托。《城市危险房屋管理规定》第十六条、第十七条也首先配置房屋所有人的解危、加固和修缮义务。</w:t>
      </w:r>
    </w:p>
    <w:p>
      <w:pPr>
        <w:spacing w:line="360" w:lineRule="auto" w:after="100"/>
        <w:ind w:firstLine="420"/>
      </w:pPr>
      <w:r>
        <w:rPr>
          <w:rFonts w:ascii="宋体" w:hAnsi="宋体" w:eastAsia="宋体"/>
          <w:sz w:val="24"/>
        </w:rPr>
        <w:t>V1以“鉴定不是治理终点”要求有关主体说明后续治理，在政策层面成立，但若不解释责任主体识别规则，被告可以直接反驳：原告及其他产权人才是法定安全责任人，科棚既非所有人又非物业服务人，城市更新政策不能把责任转移给科棚。</w:t>
      </w:r>
    </w:p>
    <w:p>
      <w:pPr>
        <w:spacing w:line="360" w:lineRule="auto" w:after="100"/>
        <w:ind w:firstLine="420"/>
      </w:pPr>
      <w:r>
        <w:rPr>
          <w:rFonts w:ascii="宋体" w:hAnsi="宋体" w:eastAsia="宋体"/>
          <w:b/>
          <w:sz w:val="24"/>
        </w:rPr>
        <w:t>修订建议：</w:t>
      </w:r>
      <w:r>
        <w:rPr>
          <w:rFonts w:ascii="宋体" w:hAnsi="宋体" w:eastAsia="宋体"/>
          <w:sz w:val="24"/>
        </w:rPr>
        <w:t>在第十节首段增加不利法源回应：</w:t>
      </w:r>
    </w:p>
    <w:p>
      <w:pPr>
        <w:spacing w:line="360" w:lineRule="auto" w:after="120" w:before="80"/>
        <w:ind w:left="397" w:right="170" w:firstLine="0"/>
        <w:shd w:fill="EDF2F7"/>
      </w:pPr>
      <w:r>
        <w:rPr>
          <w:rFonts w:ascii="宋体" w:hAnsi="宋体" w:eastAsia="宋体"/>
          <w:color w:val="17365D"/>
          <w:sz w:val="24"/>
        </w:rPr>
        <w:t>原告不否认房屋所有权人依法承担相应安全使用责任；楠木厅12号系多产权楼栋，原告仅为其中一户产权人。与此同时，生效裁判已经确认开福棚改投对该楼栋具有管理、改造依据，且其曾作为2022年鉴定委托人、2023年加固组织者。故本案需要查明的不是将所有权人的法定义务概括转移给科棚，而是区分各产权人、实际管理改造主体、具体施工或鉴定组织者分别应承担的义务和因其自身行为产生的责任。</w:t>
      </w:r>
    </w:p>
    <w:p>
      <w:pPr>
        <w:spacing w:line="360" w:lineRule="auto" w:after="100"/>
        <w:ind w:firstLine="420"/>
      </w:pPr>
      <w:r>
        <w:rPr>
          <w:rFonts w:ascii="宋体" w:hAnsi="宋体" w:eastAsia="宋体"/>
          <w:sz w:val="24"/>
        </w:rPr>
        <w:t>同时引用该条例第九条、第十条、第二十条、第二十一条、第二十五条、第三十条，不能只引用其中有利的“治理”表述。</w:t>
      </w:r>
    </w:p>
    <w:p>
      <w:pPr>
        <w:pStyle w:val="Heading2"/>
      </w:pPr>
      <w:r>
        <w:t>问题二：举证责任顺序仍有倒置风险</w:t>
      </w:r>
    </w:p>
    <w:p>
      <w:pPr>
        <w:spacing w:line="360" w:lineRule="auto" w:after="100"/>
        <w:ind w:firstLine="420"/>
      </w:pPr>
      <w:r>
        <w:rPr>
          <w:rFonts w:ascii="宋体" w:hAnsi="宋体" w:eastAsia="宋体"/>
          <w:b/>
          <w:sz w:val="24"/>
        </w:rPr>
        <w:t>严重度：96/100。</w:t>
      </w:r>
    </w:p>
    <w:p>
      <w:pPr>
        <w:spacing w:line="360" w:lineRule="auto" w:after="100"/>
      </w:pPr>
      <w:r>
        <w:rPr>
          <w:rFonts w:ascii="宋体" w:hAnsi="宋体" w:eastAsia="宋体"/>
          <w:sz w:val="24"/>
        </w:rPr>
        <w:t>原告必须先对科棚实施、组织、指示、帮助或者应当排除具体妨害承担本证责任。只有原告完成初步证明，或者被告明确承认参与而以授权、应急、安全管理等事由主张行为正当时，才由被告对该积极抗辩事实提交证据。V1虽然写明照片和报警回执不足以证明行为人，却又在第四节迅速要求科棚说明全部权限链，容易给法官“先要求被告自证权源，再倒推其参与”的印象。</w:t>
      </w:r>
    </w:p>
    <w:p>
      <w:pPr>
        <w:spacing w:line="360" w:lineRule="auto" w:after="100"/>
        <w:ind w:firstLine="420"/>
      </w:pPr>
      <w:r>
        <w:rPr>
          <w:rFonts w:ascii="宋体" w:hAnsi="宋体" w:eastAsia="宋体"/>
          <w:b/>
          <w:sz w:val="24"/>
        </w:rPr>
        <w:t>修订建议：</w:t>
      </w:r>
      <w:r>
        <w:rPr>
          <w:rFonts w:ascii="宋体" w:hAnsi="宋体" w:eastAsia="宋体"/>
          <w:sz w:val="24"/>
        </w:rPr>
        <w:t>增加明确的两阶段举证规则：</w:t>
      </w:r>
    </w:p>
    <w:p>
      <w:pPr>
        <w:spacing w:line="360" w:lineRule="auto" w:after="120" w:before="80"/>
        <w:ind w:left="397" w:right="170" w:firstLine="0"/>
        <w:shd w:fill="EDF2F7"/>
      </w:pPr>
      <w:r>
        <w:rPr>
          <w:rFonts w:ascii="宋体" w:hAnsi="宋体" w:eastAsia="宋体"/>
          <w:color w:val="17365D"/>
          <w:sz w:val="24"/>
        </w:rPr>
        <w:t>原告首先就科棚与涉案现场行为之间的关联承担举证责任；在原告提交现场身份、原始视听资料、公安记录或者其他初步证据后，如科棚承认参与但主张其行为基于合法鉴定、管理或者委托权限，则科棚应就相应权源、范围、必要性和履行过程提交其掌握的证据。不得以要求被告说明权限替代原告对行为主体的初步证明。</w:t>
      </w:r>
    </w:p>
    <w:p>
      <w:pPr>
        <w:pStyle w:val="Heading2"/>
      </w:pPr>
      <w:r>
        <w:t>问题三：“主体适格”结论与当前直接证据强度不完全匹配</w:t>
      </w:r>
    </w:p>
    <w:p>
      <w:pPr>
        <w:spacing w:line="360" w:lineRule="auto" w:after="100"/>
        <w:ind w:firstLine="420"/>
      </w:pPr>
      <w:r>
        <w:rPr>
          <w:rFonts w:ascii="宋体" w:hAnsi="宋体" w:eastAsia="宋体"/>
          <w:b/>
          <w:sz w:val="24"/>
        </w:rPr>
        <w:t>严重度：93/100。</w:t>
      </w:r>
    </w:p>
    <w:p>
      <w:pPr>
        <w:spacing w:line="360" w:lineRule="auto" w:after="100"/>
        <w:ind w:firstLine="420"/>
      </w:pPr>
      <w:r>
        <w:rPr>
          <w:rFonts w:ascii="宋体" w:hAnsi="宋体" w:eastAsia="宋体"/>
          <w:sz w:val="24"/>
        </w:rPr>
        <w:t>从程序理论看，只要原告明确主张科棚实施了侵害并请求其承担责任，科棚并非当然属于与诉争无关的主体；是否证明其确实实施侵害，通常属于实体审理问题。但V1第三节末称“上述证据和待核线索至少说明，科棚并非与诉争事实毫无关联”，其中真正的现有证据只有企业登记和2025年交易谈判授权照片，报警回执、孔洞照片均未指向科棚，清垃圾和“有权鉴定”又只是待核陈述。</w:t>
      </w:r>
    </w:p>
    <w:p>
      <w:pPr>
        <w:spacing w:line="360" w:lineRule="auto" w:after="100"/>
        <w:ind w:firstLine="420"/>
      </w:pPr>
      <w:r>
        <w:rPr>
          <w:rFonts w:ascii="宋体" w:hAnsi="宋体" w:eastAsia="宋体"/>
          <w:b/>
          <w:sz w:val="24"/>
        </w:rPr>
        <w:t>修订建议：</w:t>
      </w:r>
      <w:r>
        <w:rPr>
          <w:rFonts w:ascii="宋体" w:hAnsi="宋体" w:eastAsia="宋体"/>
          <w:sz w:val="24"/>
        </w:rPr>
        <w:t>把主体适格结论建立在“原告诉争主张”而非“现有证据已经说明”上：</w:t>
      </w:r>
    </w:p>
    <w:p>
      <w:pPr>
        <w:spacing w:line="360" w:lineRule="auto" w:after="120" w:before="80"/>
        <w:ind w:left="397" w:right="170" w:firstLine="0"/>
        <w:shd w:fill="EDF2F7"/>
      </w:pPr>
      <w:r>
        <w:rPr>
          <w:rFonts w:ascii="宋体" w:hAnsi="宋体" w:eastAsia="宋体"/>
          <w:color w:val="17365D"/>
          <w:sz w:val="24"/>
        </w:rPr>
        <w:t>就原告明确主张科棚直接或者通过相关人员参与2026年入户、侵入性检测并请求其停止行为、修复具体损坏而言，科棚与原告主张的诉争法律关系具有程序上的直接关联。该主体适格判断不预断原告已经完成对具体行为和责任的证明；如相关行为不能被证实，法律后果应是相应实体诉请不能成立，而非当然否定本案已进入的实体审理关系。</w:t>
      </w:r>
    </w:p>
    <w:p>
      <w:pPr>
        <w:spacing w:line="360" w:lineRule="auto" w:after="100"/>
        <w:ind w:firstLine="420"/>
      </w:pPr>
      <w:r>
        <w:rPr>
          <w:rFonts w:ascii="宋体" w:hAnsi="宋体" w:eastAsia="宋体"/>
          <w:sz w:val="24"/>
        </w:rPr>
        <w:t>同时删除“上述证据至少说明”的过强措辞。</w:t>
      </w:r>
    </w:p>
    <w:p>
      <w:pPr>
        <w:pStyle w:val="Heading2"/>
      </w:pPr>
      <w:r>
        <w:t>问题四：现有三项禁止性请求过宽，且缺乏持续妨害或现实危险的证据</w:t>
      </w:r>
    </w:p>
    <w:p>
      <w:pPr>
        <w:spacing w:line="360" w:lineRule="auto" w:after="100"/>
        <w:ind w:firstLine="420"/>
      </w:pPr>
      <w:r>
        <w:rPr>
          <w:rFonts w:ascii="宋体" w:hAnsi="宋体" w:eastAsia="宋体"/>
          <w:b/>
          <w:sz w:val="24"/>
        </w:rPr>
        <w:t>严重度：94/100。</w:t>
      </w:r>
    </w:p>
    <w:p>
      <w:pPr>
        <w:spacing w:line="360" w:lineRule="auto" w:after="100"/>
        <w:ind w:firstLine="420"/>
      </w:pPr>
      <w:r>
        <w:rPr>
          <w:rFonts w:ascii="宋体" w:hAnsi="宋体" w:eastAsia="宋体"/>
          <w:sz w:val="24"/>
        </w:rPr>
        <w:t>起诉状请求禁止科棚进入“东301及该楼栋共有部位”，并禁止其组织、委托、协助任何人以鉴定、维修等名义打孔、凿墙。共有部位并非原告可以排他控制；依法进行的紧急检查、修缮和危险房屋治理也不能一概禁止。未来永久性禁令还需要现实、具体、持续或者高度可能发生的妨害。现有潘某“拟拆门”只有未核原始视频的整理稿，2026年入户行为本身也未被原始材料固定。</w:t>
      </w:r>
    </w:p>
    <w:p>
      <w:pPr>
        <w:spacing w:line="360" w:lineRule="auto" w:after="100"/>
        <w:ind w:firstLine="420"/>
      </w:pPr>
      <w:r>
        <w:rPr>
          <w:rFonts w:ascii="宋体" w:hAnsi="宋体" w:eastAsia="宋体"/>
          <w:b/>
          <w:sz w:val="24"/>
        </w:rPr>
        <w:t>修订建议：</w:t>
      </w:r>
      <w:r>
        <w:rPr>
          <w:rFonts w:ascii="宋体" w:hAnsi="宋体" w:eastAsia="宋体"/>
          <w:sz w:val="24"/>
        </w:rPr>
        <w:t>把主位请求收窄为东301专有部分和具体侵入性行为：</w:t>
      </w:r>
    </w:p>
    <w:p>
      <w:pPr>
        <w:spacing w:line="360" w:lineRule="auto" w:after="120" w:before="80"/>
        <w:ind w:left="397" w:right="170" w:firstLine="0"/>
        <w:shd w:fill="EDF2F7"/>
      </w:pPr>
      <w:r>
        <w:rPr>
          <w:rFonts w:ascii="宋体" w:hAnsi="宋体" w:eastAsia="宋体"/>
          <w:color w:val="17365D"/>
          <w:sz w:val="24"/>
        </w:rPr>
        <w:t>判令被告停止在未经原告同意且无法律、行政决定或者其他合法权源依据的情况下进入东301专有部分并实施钻孔、凿墙、开槽、取样等改变房屋物理状态的行为。</w:t>
      </w:r>
    </w:p>
    <w:p>
      <w:pPr>
        <w:spacing w:line="360" w:lineRule="auto" w:after="100"/>
        <w:ind w:firstLine="420"/>
      </w:pPr>
      <w:r>
        <w:rPr>
          <w:rFonts w:ascii="宋体" w:hAnsi="宋体" w:eastAsia="宋体"/>
          <w:sz w:val="24"/>
        </w:rPr>
        <w:t>对于共有部位，只请求排除已经查明的具体障碍或修复具体设施，不请求一般性排他禁令；如现实危险证据不足，停止侵害请求应作为备位或待补证事项。</w:t>
      </w:r>
    </w:p>
    <w:p>
      <w:pPr>
        <w:pStyle w:val="Heading2"/>
      </w:pPr>
      <w:r>
        <w:t>问题五：《民法典》第一百六十五条、第一百六十九条不宜被概括用作现场作业权限的直接规则</w:t>
      </w:r>
    </w:p>
    <w:p>
      <w:pPr>
        <w:spacing w:line="360" w:lineRule="auto" w:after="100"/>
        <w:ind w:firstLine="420"/>
      </w:pPr>
      <w:r>
        <w:rPr>
          <w:rFonts w:ascii="宋体" w:hAnsi="宋体" w:eastAsia="宋体"/>
          <w:b/>
          <w:sz w:val="24"/>
        </w:rPr>
        <w:t>严重度：88/100。</w:t>
      </w:r>
    </w:p>
    <w:p>
      <w:pPr>
        <w:spacing w:line="360" w:lineRule="auto" w:after="100"/>
        <w:ind w:firstLine="420"/>
      </w:pPr>
      <w:r>
        <w:rPr>
          <w:rFonts w:ascii="宋体" w:hAnsi="宋体" w:eastAsia="宋体"/>
          <w:sz w:val="24"/>
        </w:rPr>
        <w:t>该两条规范的是民事代理授权和转委托。鉴定机构现场检测、施工人员作业、项目组织者协调等可能分别属于委托合同、承揽合同、劳动关系、项目管理或者行政应急处置，不一定是代理人以被代理人名义实施民事法律行为。用代理条款直接审查“钻孔权限”，可能被反驳为法律关系错位。</w:t>
      </w:r>
    </w:p>
    <w:p>
      <w:pPr>
        <w:spacing w:line="360" w:lineRule="auto" w:after="100"/>
        <w:ind w:firstLine="420"/>
      </w:pPr>
      <w:r>
        <w:rPr>
          <w:rFonts w:ascii="宋体" w:hAnsi="宋体" w:eastAsia="宋体"/>
          <w:b/>
          <w:sz w:val="24"/>
        </w:rPr>
        <w:t>修订建议：</w:t>
      </w:r>
      <w:r>
        <w:rPr>
          <w:rFonts w:ascii="宋体" w:hAnsi="宋体" w:eastAsia="宋体"/>
          <w:sz w:val="24"/>
        </w:rPr>
        <w:t>改为：</w:t>
      </w:r>
    </w:p>
    <w:p>
      <w:pPr>
        <w:spacing w:line="360" w:lineRule="auto" w:after="120" w:before="80"/>
        <w:ind w:left="397" w:right="170" w:firstLine="0"/>
        <w:shd w:fill="EDF2F7"/>
      </w:pPr>
      <w:r>
        <w:rPr>
          <w:rFonts w:ascii="宋体" w:hAnsi="宋体" w:eastAsia="宋体"/>
          <w:color w:val="17365D"/>
          <w:sz w:val="24"/>
        </w:rPr>
        <w:t>被告如主张其基于民事代理关系实施对外行为，再适用《民法典》第一百六十五条、第一百六十九条审查授权和转委托；如属于鉴定委托、承揽施工、劳动用工、项目管理或者行政协助，则应分别依据相应合同、任务文件、行政决定及侵权责任规则审查。无论关系性质为何，均须说明进入专有部分和侵入性检测的具体依据、必要性及损害最小化措施。</w:t>
      </w:r>
    </w:p>
    <w:p>
      <w:pPr>
        <w:pStyle w:val="Heading2"/>
      </w:pPr>
      <w:r>
        <w:t>问题六：未区分工作人员责任、承揽人责任与共同侵权</w:t>
      </w:r>
    </w:p>
    <w:p>
      <w:pPr>
        <w:spacing w:line="360" w:lineRule="auto" w:after="100"/>
        <w:ind w:firstLine="420"/>
      </w:pPr>
      <w:r>
        <w:rPr>
          <w:rFonts w:ascii="宋体" w:hAnsi="宋体" w:eastAsia="宋体"/>
          <w:b/>
          <w:sz w:val="24"/>
        </w:rPr>
        <w:t>严重度：95/100。</w:t>
      </w:r>
    </w:p>
    <w:p>
      <w:pPr>
        <w:spacing w:line="360" w:lineRule="auto" w:after="100"/>
        <w:ind w:firstLine="420"/>
      </w:pPr>
      <w:r>
        <w:rPr>
          <w:rFonts w:ascii="宋体" w:hAnsi="宋体" w:eastAsia="宋体"/>
          <w:sz w:val="24"/>
        </w:rPr>
        <w:t>V1引用《民法典》第一千一百九十一条处理工作人员执行任务致损，却没有处理更可能出现的鉴定机构、施工单位作为独立承揽人的情形。依第一千一百九十三条，承揽人在完成工作过程中造成第三人损害，原则上由承揽人承担；定作人仅在定作、指示或者选任有过错时承担相应责任。科棚即使是鉴定联络人或委托人，也不当然对鉴定机构的全部技术操作负责。</w:t>
      </w:r>
    </w:p>
    <w:p>
      <w:pPr>
        <w:spacing w:line="360" w:lineRule="auto" w:after="100"/>
        <w:ind w:firstLine="420"/>
      </w:pPr>
      <w:r>
        <w:rPr>
          <w:rFonts w:ascii="宋体" w:hAnsi="宋体" w:eastAsia="宋体"/>
          <w:b/>
          <w:sz w:val="24"/>
        </w:rPr>
        <w:t>修订建议：</w:t>
      </w:r>
      <w:r>
        <w:rPr>
          <w:rFonts w:ascii="宋体" w:hAnsi="宋体" w:eastAsia="宋体"/>
          <w:sz w:val="24"/>
        </w:rPr>
        <w:t>在第七节增设关系类型表：</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现场行为人关系</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主要责任规则</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对科棚的证明重点</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科棚工作人员执行任务</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《民法典》第一千一百九十一条</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身份、任务、对外名义、指令、报销、追认</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独立鉴定/施工承揽人</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第一千一百九十三条</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科棚是否为定作人；在定作、指示、选任中是否有过错</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科棚与他人共同实施或帮助</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第一千一百六十八条、第一千一百六十九条</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共同意思联络、分工、具体帮助及与损害的因果关系</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科棚仅联络、引导或在场</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原则上不足以单独归责</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是否实际控制点位、发出指令、接收成果或追认</w:t>
            </w:r>
          </w:p>
        </w:tc>
      </w:tr>
    </w:tbl>
    <w:p>
      <w:pPr>
        <w:spacing w:after="20"/>
      </w:pPr>
    </w:p>
    <w:p>
      <w:pPr>
        <w:pStyle w:val="Heading2"/>
      </w:pPr>
      <w:r>
        <w:t>问题七：2025年《专项授权委托书》的证明评价仍略有过度</w:t>
      </w:r>
    </w:p>
    <w:p>
      <w:pPr>
        <w:spacing w:line="360" w:lineRule="auto" w:after="100"/>
        <w:ind w:firstLine="420"/>
      </w:pPr>
      <w:r>
        <w:rPr>
          <w:rFonts w:ascii="宋体" w:hAnsi="宋体" w:eastAsia="宋体"/>
          <w:b/>
          <w:sz w:val="24"/>
        </w:rPr>
        <w:t>严重度：87/100。</w:t>
      </w:r>
    </w:p>
    <w:p>
      <w:pPr>
        <w:spacing w:line="360" w:lineRule="auto" w:after="100"/>
        <w:ind w:firstLine="420"/>
      </w:pPr>
      <w:r>
        <w:rPr>
          <w:rFonts w:ascii="宋体" w:hAnsi="宋体" w:eastAsia="宋体"/>
          <w:sz w:val="24"/>
        </w:rPr>
        <w:t>该照片显示纽带公司盖章授权“长沙科棚潮宗街商业管理有限公司潘勇团队”负责特定交易谈判，期限至2025年10月31日。它至多证明纽带公司曾以书面形式作出该项授权表示。若无原件、送达、接受或实际履行证据，不能直接表述为潘勇、科棚团队“曾参与”交易；更不能证明2026年鉴定、管理或者楼栋作业权限。</w:t>
      </w:r>
    </w:p>
    <w:p>
      <w:pPr>
        <w:spacing w:line="360" w:lineRule="auto" w:after="100"/>
        <w:ind w:firstLine="420"/>
      </w:pPr>
      <w:r>
        <w:rPr>
          <w:rFonts w:ascii="宋体" w:hAnsi="宋体" w:eastAsia="宋体"/>
          <w:b/>
          <w:sz w:val="24"/>
        </w:rPr>
        <w:t>修订建议：</w:t>
      </w:r>
      <w:r>
        <w:rPr>
          <w:rFonts w:ascii="宋体" w:hAnsi="宋体" w:eastAsia="宋体"/>
          <w:sz w:val="24"/>
        </w:rPr>
        <w:t>把第三节第三项改为：</w:t>
      </w:r>
    </w:p>
    <w:p>
      <w:pPr>
        <w:spacing w:line="360" w:lineRule="auto" w:after="120" w:before="80"/>
        <w:ind w:left="397" w:right="170" w:firstLine="0"/>
        <w:shd w:fill="EDF2F7"/>
      </w:pPr>
      <w:r>
        <w:rPr>
          <w:rFonts w:ascii="宋体" w:hAnsi="宋体" w:eastAsia="宋体"/>
          <w:color w:val="17365D"/>
          <w:sz w:val="24"/>
        </w:rPr>
        <w:t>现有照片反映纽带公司曾出具一份以科棚潘勇团队为受托对象的交易谈判授权文件；该文件是否交付、接受并实际履行仍需结合原件和履行材料审查。无论如何，其事项和期限均不能覆盖2026年鉴定、入户或者施工。</w:t>
      </w:r>
    </w:p>
    <w:p>
      <w:pPr>
        <w:pStyle w:val="Heading2"/>
      </w:pPr>
      <w:r>
        <w:t>问题八：没有充分回应2023年生效行政裁判对本案的双重影响</w:t>
      </w:r>
    </w:p>
    <w:p>
      <w:pPr>
        <w:spacing w:line="360" w:lineRule="auto" w:after="100"/>
        <w:ind w:firstLine="420"/>
      </w:pPr>
      <w:r>
        <w:rPr>
          <w:rFonts w:ascii="宋体" w:hAnsi="宋体" w:eastAsia="宋体"/>
          <w:b/>
          <w:sz w:val="24"/>
        </w:rPr>
        <w:t>严重度：90/100。</w:t>
      </w:r>
    </w:p>
    <w:p>
      <w:pPr>
        <w:spacing w:line="360" w:lineRule="auto" w:after="100"/>
        <w:ind w:firstLine="420"/>
      </w:pPr>
      <w:r>
        <w:rPr>
          <w:rFonts w:ascii="宋体" w:hAnsi="宋体" w:eastAsia="宋体"/>
          <w:sz w:val="24"/>
        </w:rPr>
        <w:t>生效裁判不仅确认开福棚改投具有管理、改造依据，还确认2022年C级风险、2023年修缮加固必要性、加固完成及湖南湘力报告记载的主体结构B级。依《最高人民法院关于民事诉讼证据的若干规定》第十条第（六）项，生效裁判所确认的基本事实原则上无需另行举证，但有相反证据足以推翻的除外。</w:t>
      </w:r>
    </w:p>
    <w:p>
      <w:pPr>
        <w:spacing w:line="360" w:lineRule="auto" w:after="100"/>
        <w:ind w:firstLine="420"/>
      </w:pPr>
      <w:r>
        <w:rPr>
          <w:rFonts w:ascii="宋体" w:hAnsi="宋体" w:eastAsia="宋体"/>
          <w:sz w:val="24"/>
        </w:rPr>
        <w:t>这对原告既有利也不利：有利于证明开福棚改投真实履行过楼栋管理改造；不利于把2023年加固概括为无权施工，也不利于在没有新报告时主张当前仍为C级或者整栋安全使用功能未恢复。</w:t>
      </w:r>
    </w:p>
    <w:p>
      <w:pPr>
        <w:spacing w:line="360" w:lineRule="auto" w:after="100"/>
        <w:ind w:firstLine="420"/>
      </w:pPr>
      <w:r>
        <w:rPr>
          <w:rFonts w:ascii="宋体" w:hAnsi="宋体" w:eastAsia="宋体"/>
          <w:b/>
          <w:sz w:val="24"/>
        </w:rPr>
        <w:t>修订建议：</w:t>
      </w:r>
      <w:r>
        <w:rPr>
          <w:rFonts w:ascii="宋体" w:hAnsi="宋体" w:eastAsia="宋体"/>
          <w:sz w:val="24"/>
        </w:rPr>
        <w:t>单列“生效裁判的证明效力及边界”：</w:t>
      </w:r>
    </w:p>
    <w:p>
      <w:pPr>
        <w:spacing w:line="360" w:lineRule="auto" w:after="120" w:before="80"/>
        <w:ind w:left="397" w:right="170" w:firstLine="0"/>
        <w:shd w:fill="EDF2F7"/>
      </w:pPr>
      <w:r>
        <w:rPr>
          <w:rFonts w:ascii="宋体" w:hAnsi="宋体" w:eastAsia="宋体"/>
          <w:color w:val="17365D"/>
          <w:sz w:val="24"/>
        </w:rPr>
        <w:t>原告不在本案中否定生效裁判已经确认的2023年加固必要性和开福棚改投当时的管理改造依据。本案争议限于2026年科棚是否取得具体权源、是否进入东301实施侵入性操作以及现存具体妨害。行政裁判确认的开福棚改投职责不能当然转化为科棚权限；反之，原告也不能把已被裁判确认具有正当性的2023年加固行为重新概括为本案侵权事实。</w:t>
      </w:r>
    </w:p>
    <w:p>
      <w:pPr>
        <w:pStyle w:val="Heading2"/>
      </w:pPr>
      <w:r>
        <w:t>问题九：当前安全状态和“恢复安全使用功能”的事实基础不足</w:t>
      </w:r>
    </w:p>
    <w:p>
      <w:pPr>
        <w:spacing w:line="360" w:lineRule="auto" w:after="100"/>
        <w:ind w:firstLine="420"/>
      </w:pPr>
      <w:r>
        <w:rPr>
          <w:rFonts w:ascii="宋体" w:hAnsi="宋体" w:eastAsia="宋体"/>
          <w:b/>
          <w:sz w:val="24"/>
        </w:rPr>
        <w:t>严重度：98/100。</w:t>
      </w:r>
    </w:p>
    <w:p>
      <w:pPr>
        <w:spacing w:line="360" w:lineRule="auto" w:after="100"/>
        <w:ind w:firstLine="420"/>
      </w:pPr>
      <w:r>
        <w:rPr>
          <w:rFonts w:ascii="宋体" w:hAnsi="宋体" w:eastAsia="宋体"/>
          <w:sz w:val="24"/>
        </w:rPr>
        <w:t>现有证据是2022年C/Csu，经2023年加固后主体结构B级；未发现2026年新C/Csu报告。孔洞照片又没有点位、深度、构件属性和结构影响说明。因此，目前没有充分证据证明整栋楼当前处于危险状态，更没有证据证明科棚行为导致安全等级下降。</w:t>
      </w:r>
    </w:p>
    <w:p>
      <w:pPr>
        <w:spacing w:line="360" w:lineRule="auto" w:after="100"/>
        <w:ind w:firstLine="420"/>
      </w:pPr>
      <w:r>
        <w:rPr>
          <w:rFonts w:ascii="宋体" w:hAnsi="宋体" w:eastAsia="宋体"/>
          <w:b/>
          <w:sz w:val="24"/>
        </w:rPr>
        <w:t>修订建议：</w:t>
      </w:r>
    </w:p>
    <w:p>
      <w:pPr>
        <w:pStyle w:val="ListNumber"/>
        <w:spacing w:line="360" w:lineRule="auto" w:after="100"/>
      </w:pPr>
      <w:r>
        <w:rPr>
          <w:rFonts w:ascii="宋体" w:hAnsi="宋体" w:eastAsia="宋体"/>
          <w:sz w:val="24"/>
        </w:rPr>
        <w:t>正式判项限于修复经勘验确认的具体孔洞、剔凿和设施损坏；</w:t>
      </w:r>
    </w:p>
    <w:p>
      <w:pPr>
        <w:pStyle w:val="ListNumber"/>
        <w:spacing w:line="360" w:lineRule="auto" w:after="100"/>
      </w:pPr>
      <w:r>
        <w:rPr>
          <w:rFonts w:ascii="宋体" w:hAnsi="宋体" w:eastAsia="宋体"/>
          <w:sz w:val="24"/>
        </w:rPr>
        <w:t>“恢复整栋正常、安全使用功能”暂列B级修改请求或调解目标；</w:t>
      </w:r>
    </w:p>
    <w:p>
      <w:pPr>
        <w:pStyle w:val="ListNumber"/>
        <w:spacing w:line="360" w:lineRule="auto" w:after="100"/>
      </w:pPr>
      <w:r>
        <w:rPr>
          <w:rFonts w:ascii="宋体" w:hAnsi="宋体" w:eastAsia="宋体"/>
          <w:sz w:val="24"/>
        </w:rPr>
        <w:t>只有取得2026年现状鉴定并证明科棚行为与安全下降具有因果关系后，才考虑对科棚提出加固给付请求；</w:t>
      </w:r>
    </w:p>
    <w:p>
      <w:pPr>
        <w:pStyle w:val="ListNumber"/>
        <w:spacing w:line="360" w:lineRule="auto" w:after="100"/>
      </w:pPr>
      <w:r>
        <w:rPr>
          <w:rFonts w:ascii="宋体" w:hAnsi="宋体" w:eastAsia="宋体"/>
          <w:sz w:val="24"/>
        </w:rPr>
        <w:t>不将2022年C/Csu当作当前状态。</w:t>
      </w:r>
    </w:p>
    <w:p>
      <w:pPr>
        <w:pStyle w:val="Heading2"/>
      </w:pPr>
      <w:r>
        <w:t>问题十：“符合现行强制性标准的正常、安全使用状态”仍然不是足够明确的执行标准</w:t>
      </w:r>
    </w:p>
    <w:p>
      <w:pPr>
        <w:spacing w:line="360" w:lineRule="auto" w:after="100"/>
        <w:ind w:firstLine="420"/>
      </w:pPr>
      <w:r>
        <w:rPr>
          <w:rFonts w:ascii="宋体" w:hAnsi="宋体" w:eastAsia="宋体"/>
          <w:b/>
          <w:sz w:val="24"/>
        </w:rPr>
        <w:t>严重度：90/100。</w:t>
      </w:r>
    </w:p>
    <w:p>
      <w:pPr>
        <w:spacing w:line="360" w:lineRule="auto" w:after="100"/>
        <w:ind w:firstLine="420"/>
      </w:pPr>
      <w:r>
        <w:rPr>
          <w:rFonts w:ascii="宋体" w:hAnsi="宋体" w:eastAsia="宋体"/>
          <w:sz w:val="24"/>
        </w:rPr>
        <w:t>该表述没有确定适用哪个标准、对象是东301局部还是整栋楼、由何机构复核、由谁负担费用、标准升级成本是否与侵权行为有因果关系。让侵权人把老旧房屋整体提升至当前所有强制性标准，可能超出恢复因果范围；而执行法院也无法仅凭这一句组织替代履行。</w:t>
      </w:r>
    </w:p>
    <w:p>
      <w:pPr>
        <w:spacing w:line="360" w:lineRule="auto" w:after="100"/>
        <w:ind w:firstLine="420"/>
      </w:pPr>
      <w:r>
        <w:rPr>
          <w:rFonts w:ascii="宋体" w:hAnsi="宋体" w:eastAsia="宋体"/>
          <w:b/>
          <w:sz w:val="24"/>
        </w:rPr>
        <w:t>修订建议：</w:t>
      </w:r>
      <w:r>
        <w:rPr>
          <w:rFonts w:ascii="宋体" w:hAnsi="宋体" w:eastAsia="宋体"/>
          <w:sz w:val="24"/>
        </w:rPr>
        <w:t>局部损坏采用“经法院勘验/司法鉴定确认的点位+修复方案+有资质施工单位+修复后无结构和使用功能不利影响”的标准。整体安全治理只在调解中约定“共同选定机构按明确列明的标准复核”，并写明审批失败、报告不可比时的替代条款。</w:t>
      </w:r>
    </w:p>
    <w:p>
      <w:pPr>
        <w:pStyle w:val="Heading2"/>
      </w:pPr>
      <w:r>
        <w:t>问题十一：建筑废料、排水、围挡三项尚未达到可判程度</w:t>
      </w:r>
    </w:p>
    <w:p>
      <w:pPr>
        <w:spacing w:line="360" w:lineRule="auto" w:after="100"/>
        <w:ind w:firstLine="420"/>
      </w:pPr>
      <w:r>
        <w:rPr>
          <w:rFonts w:ascii="宋体" w:hAnsi="宋体" w:eastAsia="宋体"/>
          <w:b/>
          <w:sz w:val="24"/>
        </w:rPr>
        <w:t>严重度：96/100。</w:t>
      </w:r>
    </w:p>
    <w:p>
      <w:pPr>
        <w:spacing w:line="360" w:lineRule="auto" w:after="100"/>
        <w:ind w:firstLine="420"/>
      </w:pPr>
      <w:r>
        <w:rPr>
          <w:rFonts w:ascii="宋体" w:hAnsi="宋体" w:eastAsia="宋体"/>
          <w:sz w:val="24"/>
        </w:rPr>
        <w:t>V1已承认：废料来源不清、排水无管线和检测、围挡无设置与控制主体。现阶段针对科棚请求清运、修复排水、拆移围挡，分别缺少“行为或控制—现状—因果—履行能力”至少一至三环。诉后协调生活垃圾即使属实，也不能填补建筑垃圾、排水和围挡责任。</w:t>
      </w:r>
    </w:p>
    <w:p>
      <w:pPr>
        <w:spacing w:line="360" w:lineRule="auto" w:after="100"/>
        <w:ind w:firstLine="420"/>
      </w:pPr>
      <w:r>
        <w:rPr>
          <w:rFonts w:ascii="宋体" w:hAnsi="宋体" w:eastAsia="宋体"/>
          <w:b/>
          <w:sz w:val="24"/>
        </w:rPr>
        <w:t>修订建议：</w:t>
      </w:r>
      <w:r>
        <w:rPr>
          <w:rFonts w:ascii="宋体" w:hAnsi="宋体" w:eastAsia="宋体"/>
          <w:sz w:val="24"/>
        </w:rPr>
        <w:t>在最终代理意见中制作逐项请求证明状态表，并明确：</w:t>
      </w:r>
    </w:p>
    <w:p>
      <w:pPr>
        <w:pStyle w:val="ListBullet"/>
        <w:spacing w:line="360" w:lineRule="auto" w:after="100"/>
      </w:pPr>
      <w:r>
        <w:rPr>
          <w:rFonts w:ascii="宋体" w:hAnsi="宋体" w:eastAsia="宋体"/>
          <w:sz w:val="24"/>
        </w:rPr>
        <w:t>钻孔局部修复：补强后可作为主位；</w:t>
      </w:r>
    </w:p>
    <w:p>
      <w:pPr>
        <w:pStyle w:val="ListBullet"/>
        <w:spacing w:line="360" w:lineRule="auto" w:after="100"/>
      </w:pPr>
      <w:r>
        <w:rPr>
          <w:rFonts w:ascii="宋体" w:hAnsi="宋体" w:eastAsia="宋体"/>
          <w:sz w:val="24"/>
        </w:rPr>
        <w:t>建筑废料：取得来源、点位和控制主体证据后提出；</w:t>
      </w:r>
    </w:p>
    <w:p>
      <w:pPr>
        <w:pStyle w:val="ListBullet"/>
        <w:spacing w:line="360" w:lineRule="auto" w:after="100"/>
      </w:pPr>
      <w:r>
        <w:rPr>
          <w:rFonts w:ascii="宋体" w:hAnsi="宋体" w:eastAsia="宋体"/>
          <w:sz w:val="24"/>
        </w:rPr>
        <w:t>排水：现场勘验、通水试验或专业检测后提出；</w:t>
      </w:r>
    </w:p>
    <w:p>
      <w:pPr>
        <w:pStyle w:val="ListBullet"/>
        <w:spacing w:line="360" w:lineRule="auto" w:after="100"/>
      </w:pPr>
      <w:r>
        <w:rPr>
          <w:rFonts w:ascii="宋体" w:hAnsi="宋体" w:eastAsia="宋体"/>
          <w:sz w:val="24"/>
        </w:rPr>
        <w:t>围挡：取得最新影像、设置/控制主体、设置依据和替代通道资料后提出；</w:t>
      </w:r>
    </w:p>
    <w:p>
      <w:pPr>
        <w:pStyle w:val="ListBullet"/>
        <w:spacing w:line="360" w:lineRule="auto" w:after="100"/>
      </w:pPr>
      <w:r>
        <w:rPr>
          <w:rFonts w:ascii="宋体" w:hAnsi="宋体" w:eastAsia="宋体"/>
          <w:sz w:val="24"/>
        </w:rPr>
        <w:t>未完成补证的项目不写成请求法院当前直接支持的结论。</w:t>
      </w:r>
    </w:p>
    <w:p>
      <w:pPr>
        <w:pStyle w:val="Heading2"/>
      </w:pPr>
      <w:r>
        <w:t>问题十二：开福棚改投作为“共同被告还是第三人”必须作出程序性选择</w:t>
      </w:r>
    </w:p>
    <w:p>
      <w:pPr>
        <w:spacing w:line="360" w:lineRule="auto" w:after="100"/>
        <w:ind w:firstLine="420"/>
      </w:pPr>
      <w:r>
        <w:rPr>
          <w:rFonts w:ascii="宋体" w:hAnsi="宋体" w:eastAsia="宋体"/>
          <w:b/>
          <w:sz w:val="24"/>
        </w:rPr>
        <w:t>严重度：92/100。</w:t>
      </w:r>
    </w:p>
    <w:p>
      <w:pPr>
        <w:spacing w:line="360" w:lineRule="auto" w:after="100"/>
        <w:ind w:firstLine="420"/>
      </w:pPr>
      <w:r>
        <w:rPr>
          <w:rFonts w:ascii="宋体" w:hAnsi="宋体" w:eastAsia="宋体"/>
          <w:sz w:val="24"/>
        </w:rPr>
        <w:t>若原告要求开福棚改投清垃圾、修排水、调整围挡、组织加固或者形成方案，原则上应对其提出明确给付请求并以共同被告身份参加；不能把本应直接针对其提出的履行请求，仅以列无独立请求权第三人的方式模糊处理。依民事诉讼法规定，在具备法定条件时法院可以判令无独立请求权第三人承担民事责任，但本案不宜预设该例外能够替代原告明确诉请和完整攻防。若只是查明科棚权源，开福棚改投可以作为第三人参加，或者由法院调查取证、通知相关人员到庭。V1写“共同被告或者第三人依法释明”仍过于笼统。</w:t>
      </w:r>
    </w:p>
    <w:p>
      <w:pPr>
        <w:spacing w:line="360" w:lineRule="auto" w:after="100"/>
        <w:ind w:firstLine="420"/>
      </w:pPr>
      <w:r>
        <w:rPr>
          <w:rFonts w:ascii="宋体" w:hAnsi="宋体" w:eastAsia="宋体"/>
          <w:b/>
          <w:sz w:val="24"/>
        </w:rPr>
        <w:t>修订建议：</w:t>
      </w:r>
    </w:p>
    <w:p>
      <w:pPr>
        <w:spacing w:line="360" w:lineRule="auto" w:after="120" w:before="80"/>
        <w:ind w:left="397" w:right="170" w:firstLine="0"/>
        <w:shd w:fill="EDF2F7"/>
      </w:pPr>
      <w:r>
        <w:rPr>
          <w:rFonts w:ascii="宋体" w:hAnsi="宋体" w:eastAsia="宋体"/>
          <w:color w:val="17365D"/>
          <w:sz w:val="24"/>
        </w:rPr>
        <w:t>诉请仅针对科棚2026年直接行为时，不追加开福棚改投为共同被告；为查明授权可申请其作为第三人参加或调取材料。诉请扩大至楼栋共有系统、整体修缮加固及管理义务时，原则上应在举证期限内申请追加开福棚改投为共同被告并相应变更诉讼请求，不宜仅列第三人后再请求法院判令其履行。</w:t>
      </w:r>
    </w:p>
    <w:p>
      <w:pPr>
        <w:pStyle w:val="Heading2"/>
      </w:pPr>
      <w:r>
        <w:t>问题十三：共有部分诉讼分界仍需结合专门司法解释细化</w:t>
      </w:r>
    </w:p>
    <w:p>
      <w:pPr>
        <w:spacing w:line="360" w:lineRule="auto" w:after="100"/>
        <w:ind w:firstLine="420"/>
      </w:pPr>
      <w:r>
        <w:rPr>
          <w:rFonts w:ascii="宋体" w:hAnsi="宋体" w:eastAsia="宋体"/>
          <w:b/>
          <w:sz w:val="24"/>
        </w:rPr>
        <w:t>严重度：88/100。</w:t>
      </w:r>
    </w:p>
    <w:p>
      <w:pPr>
        <w:spacing w:line="360" w:lineRule="auto" w:after="100"/>
        <w:ind w:firstLine="420"/>
      </w:pPr>
      <w:r>
        <w:rPr>
          <w:rFonts w:ascii="宋体" w:hAnsi="宋体" w:eastAsia="宋体"/>
          <w:sz w:val="24"/>
        </w:rPr>
        <w:t>《民诉法解释》第七十二条规定共有财产权受侵害，部分共有权人起诉的，其他共有权人为共同诉讼人；同时《最高人民法院关于审理建筑物区分所有权纠纷案件适用法律若干问题的解释》第三条明确通道、楼梯、承重结构等为共有部分，第十四条允许权利人就建设单位、物业服务企业或者其他管理人擅自占用、处分、改变共有部分使用功能请求排除妨害、恢复原状。V1只引用前者和《民法典》第二百七十八条，容易过度扩大“所有共有权人必须参加”的范围。</w:t>
      </w:r>
    </w:p>
    <w:p>
      <w:pPr>
        <w:spacing w:line="360" w:lineRule="auto" w:after="100"/>
        <w:ind w:firstLine="420"/>
      </w:pPr>
      <w:r>
        <w:rPr>
          <w:rFonts w:ascii="宋体" w:hAnsi="宋体" w:eastAsia="宋体"/>
          <w:b/>
          <w:sz w:val="24"/>
        </w:rPr>
        <w:t>修订建议：</w:t>
      </w:r>
      <w:r>
        <w:rPr>
          <w:rFonts w:ascii="宋体" w:hAnsi="宋体" w:eastAsia="宋体"/>
          <w:sz w:val="24"/>
        </w:rPr>
        <w:t>形成三分法：</w:t>
      </w:r>
    </w:p>
    <w:p>
      <w:pPr>
        <w:pStyle w:val="ListNumber"/>
        <w:spacing w:line="360" w:lineRule="auto" w:after="100"/>
      </w:pPr>
      <w:r>
        <w:rPr>
          <w:rFonts w:ascii="宋体" w:hAnsi="宋体" w:eastAsia="宋体"/>
          <w:sz w:val="24"/>
        </w:rPr>
        <w:t>东301专有部分损害：原告单独起诉；</w:t>
      </w:r>
    </w:p>
    <w:p>
      <w:pPr>
        <w:pStyle w:val="ListNumber"/>
        <w:spacing w:line="360" w:lineRule="auto" w:after="100"/>
      </w:pPr>
      <w:r>
        <w:rPr>
          <w:rFonts w:ascii="宋体" w:hAnsi="宋体" w:eastAsia="宋体"/>
          <w:sz w:val="24"/>
        </w:rPr>
        <w:t>无权占用、堵塞通道等直接妨害原告专有权和共有权的行为：原告原则上可依《民法典》第二百七十三条、第二百八十七条及上述司法解释第十四条单独请求保护，法院视影响通知其他业主；</w:t>
      </w:r>
    </w:p>
    <w:p>
      <w:pPr>
        <w:pStyle w:val="ListNumber"/>
        <w:spacing w:line="360" w:lineRule="auto" w:after="100"/>
      </w:pPr>
      <w:r>
        <w:rPr>
          <w:rFonts w:ascii="宋体" w:hAnsi="宋体" w:eastAsia="宋体"/>
          <w:sz w:val="24"/>
        </w:rPr>
        <w:t>整体排水系统重构、主体加固、原拆原建、改变出入口等重大共有事项：核实全部业主并依《民诉法解释》第七十二条及《民法典》第二百七十八条处理共同诉讼和业主决策。</w:t>
      </w:r>
    </w:p>
    <w:p>
      <w:pPr>
        <w:pStyle w:val="Heading2"/>
      </w:pPr>
      <w:r>
        <w:t>问题十四：诉后生活垃圾清运仍只是线索，不应成为正式代理意见的主要支柱</w:t>
      </w:r>
    </w:p>
    <w:p>
      <w:pPr>
        <w:spacing w:line="360" w:lineRule="auto" w:after="100"/>
        <w:ind w:firstLine="420"/>
      </w:pPr>
      <w:r>
        <w:rPr>
          <w:rFonts w:ascii="宋体" w:hAnsi="宋体" w:eastAsia="宋体"/>
          <w:b/>
          <w:sz w:val="24"/>
        </w:rPr>
        <w:t>严重度：89/100。</w:t>
      </w:r>
    </w:p>
    <w:p>
      <w:pPr>
        <w:spacing w:line="360" w:lineRule="auto" w:after="100"/>
        <w:ind w:firstLine="420"/>
      </w:pPr>
      <w:r>
        <w:rPr>
          <w:rFonts w:ascii="宋体" w:hAnsi="宋体" w:eastAsia="宋体"/>
          <w:sz w:val="24"/>
        </w:rPr>
        <w:t>目前没有清运日期、立案日期、联系人、工作群、派工、付款、前后照片、清运法人或验收材料。V1采用条件式表述是正确的，但正文专设两节会让法官误以为原告拥有完整证据。更关键的是，“本案起诉后”本身也需要立案时间和清运时间相互对应。</w:t>
      </w:r>
    </w:p>
    <w:p>
      <w:pPr>
        <w:spacing w:line="360" w:lineRule="auto" w:after="100"/>
        <w:ind w:firstLine="420"/>
      </w:pPr>
      <w:r>
        <w:rPr>
          <w:rFonts w:ascii="宋体" w:hAnsi="宋体" w:eastAsia="宋体"/>
          <w:b/>
          <w:sz w:val="24"/>
        </w:rPr>
        <w:t>修订建议：</w:t>
      </w:r>
      <w:r>
        <w:rPr>
          <w:rFonts w:ascii="宋体" w:hAnsi="宋体" w:eastAsia="宋体"/>
          <w:sz w:val="24"/>
        </w:rPr>
        <w:t>证据补强前，将该部分压缩为一段“待核线索及调查必要性”；补强后再单列章节，并按下列六项分别评价：主体适格、实际参与、协调能力、法定管理身份、建筑垃圾责任、排水围挡责任。无论如何均不得写成自认。</w:t>
      </w:r>
    </w:p>
    <w:p>
      <w:pPr>
        <w:pStyle w:val="Heading2"/>
      </w:pPr>
      <w:r>
        <w:t>问题十五：“城投”、开福棚改投、开福城投集团、北城资产必须逐一识别法人</w:t>
      </w:r>
    </w:p>
    <w:p>
      <w:pPr>
        <w:spacing w:line="360" w:lineRule="auto" w:after="100"/>
        <w:ind w:firstLine="420"/>
      </w:pPr>
      <w:r>
        <w:rPr>
          <w:rFonts w:ascii="宋体" w:hAnsi="宋体" w:eastAsia="宋体"/>
          <w:b/>
          <w:sz w:val="24"/>
        </w:rPr>
        <w:t>严重度：91/100。</w:t>
      </w:r>
    </w:p>
    <w:p>
      <w:pPr>
        <w:spacing w:line="360" w:lineRule="auto" w:after="100"/>
        <w:ind w:firstLine="420"/>
      </w:pPr>
      <w:r>
        <w:rPr>
          <w:rFonts w:ascii="宋体" w:hAnsi="宋体" w:eastAsia="宋体"/>
          <w:sz w:val="24"/>
        </w:rPr>
        <w:t>现有文字整理稿使用“开福城投”，生效裁判主体为“长沙市开福棚改投资有限责任公司”，项目中又有“长沙开福城投集团有限责任公司”的企业报告，2026年潮宗街鉴定采购人为“长沙市北城资产经营管理有限公司”。四者不能互换。V1虽提醒查明，却在权限链中直接列入“北城资产”，容易把片区采购线索与本案2026现场行为连接。</w:t>
      </w:r>
    </w:p>
    <w:p>
      <w:pPr>
        <w:spacing w:line="360" w:lineRule="auto" w:after="100"/>
        <w:ind w:firstLine="420"/>
      </w:pPr>
      <w:r>
        <w:rPr>
          <w:rFonts w:ascii="宋体" w:hAnsi="宋体" w:eastAsia="宋体"/>
          <w:b/>
          <w:sz w:val="24"/>
        </w:rPr>
        <w:t>修订建议：</w:t>
      </w:r>
      <w:r>
        <w:rPr>
          <w:rFonts w:ascii="宋体" w:hAnsi="宋体" w:eastAsia="宋体"/>
          <w:sz w:val="24"/>
        </w:rPr>
        <w:t>在任何补证前只写“原告所称‘城投’人员，准确用人及实施法人尚待查明”；删除正文中未经证据连接的北城资产，仅保留在调查取证清单。后续根据统一社会信用代码、劳动关系、派工和付款材料锁定主体。</w:t>
      </w:r>
    </w:p>
    <w:p>
      <w:pPr>
        <w:pStyle w:val="Heading2"/>
      </w:pPr>
      <w:r>
        <w:t>问题十六：书证提出命令与法院调查取证的对象应严格分开</w:t>
      </w:r>
    </w:p>
    <w:p>
      <w:pPr>
        <w:spacing w:line="360" w:lineRule="auto" w:after="100"/>
        <w:ind w:firstLine="420"/>
      </w:pPr>
      <w:r>
        <w:rPr>
          <w:rFonts w:ascii="宋体" w:hAnsi="宋体" w:eastAsia="宋体"/>
          <w:b/>
          <w:sz w:val="24"/>
        </w:rPr>
        <w:t>严重度：86/100。</w:t>
      </w:r>
    </w:p>
    <w:p>
      <w:pPr>
        <w:spacing w:line="360" w:lineRule="auto" w:after="100"/>
        <w:ind w:firstLine="420"/>
      </w:pPr>
      <w:r>
        <w:rPr>
          <w:rFonts w:ascii="宋体" w:hAnsi="宋体" w:eastAsia="宋体"/>
          <w:sz w:val="24"/>
        </w:rPr>
        <w:t>《最高人民法院关于民事诉讼证据的若干规定》第四十五条至第四十八条的书证提出命令针对由对方当事人控制的书证；公安机关、开福棚改投、鉴定机构、北城资产或者行政部门持有的材料，应当根据不能自行收集的具体原因申请法院调查收集，不能笼统要求“责令持有人提出”。现场勘验、鉴定也应分别满足证据规定的程序要求。</w:t>
      </w:r>
    </w:p>
    <w:p>
      <w:pPr>
        <w:spacing w:line="360" w:lineRule="auto" w:after="100"/>
        <w:ind w:firstLine="420"/>
      </w:pPr>
      <w:r>
        <w:rPr>
          <w:rFonts w:ascii="宋体" w:hAnsi="宋体" w:eastAsia="宋体"/>
          <w:b/>
          <w:sz w:val="24"/>
        </w:rPr>
        <w:t>修订建议：</w:t>
      </w:r>
      <w:r>
        <w:rPr>
          <w:rFonts w:ascii="宋体" w:hAnsi="宋体" w:eastAsia="宋体"/>
          <w:sz w:val="24"/>
        </w:rPr>
        <w:t>把第十七节拆成：</w:t>
      </w:r>
    </w:p>
    <w:p>
      <w:pPr>
        <w:pStyle w:val="ListBullet"/>
        <w:spacing w:line="360" w:lineRule="auto" w:after="100"/>
      </w:pPr>
      <w:r>
        <w:rPr>
          <w:rFonts w:ascii="宋体" w:hAnsi="宋体" w:eastAsia="宋体"/>
          <w:sz w:val="24"/>
        </w:rPr>
        <w:t>请求科棚提交/书证提出命令：其控制的劳动、派工、委托、付款、工作群和成果接收材料；</w:t>
      </w:r>
    </w:p>
    <w:p>
      <w:pPr>
        <w:pStyle w:val="ListBullet"/>
        <w:spacing w:line="360" w:lineRule="auto" w:after="100"/>
      </w:pPr>
      <w:r>
        <w:rPr>
          <w:rFonts w:ascii="宋体" w:hAnsi="宋体" w:eastAsia="宋体"/>
          <w:sz w:val="24"/>
        </w:rPr>
        <w:t>法院调查取证：公安接处警、非当事公司合同、政府清单和备案材料；</w:t>
      </w:r>
    </w:p>
    <w:p>
      <w:pPr>
        <w:pStyle w:val="ListBullet"/>
        <w:spacing w:line="360" w:lineRule="auto" w:after="100"/>
      </w:pPr>
      <w:r>
        <w:rPr>
          <w:rFonts w:ascii="宋体" w:hAnsi="宋体" w:eastAsia="宋体"/>
          <w:sz w:val="24"/>
        </w:rPr>
        <w:t>现场勘验：点位、废料、排水、围挡和通道；</w:t>
      </w:r>
    </w:p>
    <w:p>
      <w:pPr>
        <w:pStyle w:val="ListBullet"/>
        <w:spacing w:line="360" w:lineRule="auto" w:after="100"/>
      </w:pPr>
      <w:r>
        <w:rPr>
          <w:rFonts w:ascii="宋体" w:hAnsi="宋体" w:eastAsia="宋体"/>
          <w:sz w:val="24"/>
        </w:rPr>
        <w:t>司法鉴定：只在主体和点位基本确定后，对损坏原因、修复方案、现状安全或报告可比性中的必要专门问题启动。</w:t>
      </w:r>
    </w:p>
    <w:p>
      <w:pPr>
        <w:spacing w:line="360" w:lineRule="auto" w:after="100"/>
        <w:ind w:firstLine="420"/>
      </w:pPr>
      <w:r>
        <w:rPr>
          <w:rFonts w:ascii="宋体" w:hAnsi="宋体" w:eastAsia="宋体"/>
          <w:sz w:val="24"/>
        </w:rPr>
        <w:t>每份申请必须写明证据名称、持有人、与待证事实的关系、无法自行取得的原因，并注意举证期限。</w:t>
      </w:r>
    </w:p>
    <w:p>
      <w:pPr>
        <w:pStyle w:val="Heading2"/>
      </w:pPr>
      <w:r>
        <w:t>问题十七：城市更新和历史文化保护事实仍缺少楠木厅12号的空间与建筑身份证明</w:t>
      </w:r>
    </w:p>
    <w:p>
      <w:pPr>
        <w:spacing w:line="360" w:lineRule="auto" w:after="100"/>
        <w:ind w:firstLine="420"/>
      </w:pPr>
      <w:r>
        <w:rPr>
          <w:rFonts w:ascii="宋体" w:hAnsi="宋体" w:eastAsia="宋体"/>
          <w:b/>
          <w:sz w:val="24"/>
        </w:rPr>
        <w:t>严重度：84/100。</w:t>
      </w:r>
    </w:p>
    <w:p>
      <w:pPr>
        <w:spacing w:line="360" w:lineRule="auto" w:after="100"/>
        <w:ind w:firstLine="420"/>
      </w:pPr>
      <w:r>
        <w:rPr>
          <w:rFonts w:ascii="宋体" w:hAnsi="宋体" w:eastAsia="宋体"/>
          <w:sz w:val="24"/>
        </w:rPr>
        <w:t>行动方案点名“潮宗街”历史文化街区，不等于公开资料已经证明楠木厅12号位于法定保护范围、属于历史建筑或传统风貌建筑，更不等于该楼已进入项目库。V1已经承认未确认项目入库，但对“一屋一策”的论述仍可能让读者误解该楼当然存在一份2026项目方案。</w:t>
      </w:r>
    </w:p>
    <w:p>
      <w:pPr>
        <w:spacing w:line="360" w:lineRule="auto" w:after="100"/>
        <w:ind w:firstLine="420"/>
      </w:pPr>
      <w:r>
        <w:rPr>
          <w:rFonts w:ascii="宋体" w:hAnsi="宋体" w:eastAsia="宋体"/>
          <w:b/>
          <w:sz w:val="24"/>
        </w:rPr>
        <w:t>修订建议：</w:t>
      </w:r>
      <w:r>
        <w:rPr>
          <w:rFonts w:ascii="宋体" w:hAnsi="宋体" w:eastAsia="宋体"/>
          <w:sz w:val="24"/>
        </w:rPr>
        <w:t>明确区分：</w:t>
      </w:r>
    </w:p>
    <w:p>
      <w:pPr>
        <w:pStyle w:val="ListBullet"/>
        <w:spacing w:line="360" w:lineRule="auto" w:after="100"/>
      </w:pPr>
      <w:r>
        <w:rPr>
          <w:rFonts w:ascii="宋体" w:hAnsi="宋体" w:eastAsia="宋体"/>
          <w:sz w:val="24"/>
        </w:rPr>
        <w:t>2023年危险房屋交办材料中的“一房一策”是当时危房治理要求，应调查针对12号的计划是否形成；</w:t>
      </w:r>
    </w:p>
    <w:p>
      <w:pPr>
        <w:pStyle w:val="ListBullet"/>
        <w:spacing w:line="360" w:lineRule="auto" w:after="100"/>
      </w:pPr>
      <w:r>
        <w:rPr>
          <w:rFonts w:ascii="宋体" w:hAnsi="宋体" w:eastAsia="宋体"/>
          <w:sz w:val="24"/>
        </w:rPr>
        <w:t>2026年历史文化街区“一屋一策”只有在核实12号位于法定保护范围及适用对象后，才能作为具体调查依据；</w:t>
      </w:r>
    </w:p>
    <w:p>
      <w:pPr>
        <w:pStyle w:val="ListBullet"/>
        <w:spacing w:line="360" w:lineRule="auto" w:after="100"/>
      </w:pPr>
      <w:r>
        <w:rPr>
          <w:rFonts w:ascii="宋体" w:hAnsi="宋体" w:eastAsia="宋体"/>
          <w:sz w:val="24"/>
        </w:rPr>
        <w:t>无现行项目库、范围图和建筑清单时，只能提出信息公开与调解线索。</w:t>
      </w:r>
    </w:p>
    <w:p>
      <w:pPr>
        <w:pStyle w:val="Heading2"/>
      </w:pPr>
      <w:r>
        <w:t>问题十八：正式代理意见仍缺少与当前诉讼请求逐项对应的“结论—证据—请求”结构</w:t>
      </w:r>
    </w:p>
    <w:p>
      <w:pPr>
        <w:spacing w:line="360" w:lineRule="auto" w:after="100"/>
        <w:ind w:firstLine="420"/>
      </w:pPr>
      <w:r>
        <w:rPr>
          <w:rFonts w:ascii="宋体" w:hAnsi="宋体" w:eastAsia="宋体"/>
          <w:b/>
          <w:sz w:val="24"/>
        </w:rPr>
        <w:t>严重度：93/100。</w:t>
      </w:r>
    </w:p>
    <w:p>
      <w:pPr>
        <w:spacing w:line="360" w:lineRule="auto" w:after="100"/>
        <w:ind w:firstLine="420"/>
      </w:pPr>
      <w:r>
        <w:rPr>
          <w:rFonts w:ascii="宋体" w:hAnsi="宋体" w:eastAsia="宋体"/>
          <w:sz w:val="24"/>
        </w:rPr>
        <w:t>V1提出了原则和未来调查方向，却没有逐项列明当前七项诉请是继续坚持、缩减、撤回还是在补证后变更。法官读完仍无法判断原告本次开庭究竟要求法院现在判什么，尤其无法形成判决主文。</w:t>
      </w:r>
    </w:p>
    <w:p>
      <w:pPr>
        <w:spacing w:line="360" w:lineRule="auto" w:after="100"/>
        <w:ind w:firstLine="420"/>
      </w:pPr>
      <w:r>
        <w:rPr>
          <w:rFonts w:ascii="宋体" w:hAnsi="宋体" w:eastAsia="宋体"/>
          <w:b/>
          <w:sz w:val="24"/>
        </w:rPr>
        <w:t>修订建议：</w:t>
      </w:r>
      <w:r>
        <w:rPr>
          <w:rFonts w:ascii="宋体" w:hAnsi="宋体" w:eastAsia="宋体"/>
          <w:sz w:val="24"/>
        </w:rPr>
        <w:t>在结论前增加诉请对应表，并在开庭前提交《变更、明确诉讼请求申请书》：</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当前诉请</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当前证据状态</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V2处理</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未经许可进入专有部分</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行为主体和持续风险待补</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收窄至东301及具体侵入性操作；作为补证后主位</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禁止拆门等</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原始视频缺失、权属/消防不明</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暂作备位；请求保全现状或勘验，不作绝对禁令</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禁止共有部位钻孔</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原告无排他控制权</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删除概括禁令，改为修复已证损坏</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垃圾/废料</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来源、点位和控制主体不明</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补点位图和来源后再提出</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排水</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无检测和因果证据</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先勘验、检测；暂不请求直接判科棚修复</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围挡/通行</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控制主体和必要性不明</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补证后请求具体拆移区段或安全替代通道</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孔洞等具体修复</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物理外观有照片，主体与因果缺口</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作为最应补强的主位请求</w:t>
            </w:r>
          </w:p>
        </w:tc>
      </w:tr>
    </w:tbl>
    <w:p>
      <w:pPr>
        <w:spacing w:after="20"/>
      </w:pPr>
    </w:p>
    <w:p>
      <w:pPr>
        <w:pStyle w:val="Heading1"/>
      </w:pPr>
      <w:r>
        <w:t>四、其他重要修订意见</w:t>
      </w:r>
    </w:p>
    <w:p>
      <w:pPr>
        <w:pStyle w:val="ListNumber"/>
        <w:spacing w:line="360" w:lineRule="auto" w:after="100"/>
      </w:pPr>
      <w:r>
        <w:rPr>
          <w:rFonts w:ascii="宋体" w:hAnsi="宋体" w:eastAsia="宋体"/>
          <w:b/>
          <w:sz w:val="24"/>
        </w:rPr>
        <w:t>补充《民法典》第二百八十七条及建筑物区分所有权司法解释第十四条。</w:t>
      </w:r>
      <w:r>
        <w:rPr>
          <w:rFonts w:ascii="宋体" w:hAnsi="宋体" w:eastAsia="宋体"/>
          <w:sz w:val="24"/>
        </w:rPr>
        <w:t>两条能够支持业主在证明科棚属于“其他管理人”或其擅自影响共有部分时请求承担民事责任，但不得在未证明管理身份时直接套用。</w:t>
      </w:r>
    </w:p>
    <w:p>
      <w:pPr>
        <w:pStyle w:val="ListNumber"/>
        <w:spacing w:line="360" w:lineRule="auto" w:after="100"/>
      </w:pPr>
      <w:r>
        <w:rPr>
          <w:rFonts w:ascii="宋体" w:hAnsi="宋体" w:eastAsia="宋体"/>
          <w:b/>
          <w:sz w:val="24"/>
        </w:rPr>
        <w:t>补充《民法典》第二百九十二条、第二百九十五条、第二百九十六条。</w:t>
      </w:r>
      <w:r>
        <w:rPr>
          <w:rFonts w:ascii="宋体" w:hAnsi="宋体" w:eastAsia="宋体"/>
          <w:sz w:val="24"/>
        </w:rPr>
        <w:t>原告对必要修缮可能负有提供便利义务；实施方同时负有不得危及相邻不动产、尽量避免损害的义务。正面引用比回避更有说服力。</w:t>
      </w:r>
    </w:p>
    <w:p>
      <w:pPr>
        <w:pStyle w:val="ListNumber"/>
        <w:spacing w:line="360" w:lineRule="auto" w:after="100"/>
      </w:pPr>
      <w:r>
        <w:rPr>
          <w:rFonts w:ascii="宋体" w:hAnsi="宋体" w:eastAsia="宋体"/>
          <w:b/>
          <w:sz w:val="24"/>
        </w:rPr>
        <w:t>区分危险房屋临时防护与永久治理。</w:t>
      </w:r>
      <w:r>
        <w:rPr>
          <w:rFonts w:ascii="宋体" w:hAnsi="宋体" w:eastAsia="宋体"/>
          <w:sz w:val="24"/>
        </w:rPr>
        <w:t>围挡可能是《长沙市房屋安全管理条例》第二十五条要求的安全防护措施；原告应主张比例失当、范围过度、期限失控或者未提供安全替代通道，而非当然要求拆除全部围挡。</w:t>
      </w:r>
    </w:p>
    <w:p>
      <w:pPr>
        <w:pStyle w:val="ListNumber"/>
        <w:spacing w:line="360" w:lineRule="auto" w:after="100"/>
      </w:pPr>
      <w:r>
        <w:rPr>
          <w:rFonts w:ascii="宋体" w:hAnsi="宋体" w:eastAsia="宋体"/>
          <w:b/>
          <w:sz w:val="24"/>
        </w:rPr>
        <w:t>精确引政策条款位置。</w:t>
      </w:r>
      <w:r>
        <w:rPr>
          <w:rFonts w:ascii="宋体" w:hAnsi="宋体" w:eastAsia="宋体"/>
          <w:sz w:val="24"/>
        </w:rPr>
        <w:t>除文件名、文号外，应注明相关内容所在章节或条目；引文不要用省略号拼接形成新的规范句。</w:t>
      </w:r>
    </w:p>
    <w:p>
      <w:pPr>
        <w:pStyle w:val="ListNumber"/>
        <w:spacing w:line="360" w:lineRule="auto" w:after="100"/>
      </w:pPr>
      <w:r>
        <w:rPr>
          <w:rFonts w:ascii="宋体" w:hAnsi="宋体" w:eastAsia="宋体"/>
          <w:b/>
          <w:sz w:val="24"/>
        </w:rPr>
        <w:t>删除签章页后的“法源与政策效力说明”，转为附件或脚注。</w:t>
      </w:r>
      <w:r>
        <w:rPr>
          <w:rFonts w:ascii="宋体" w:hAnsi="宋体" w:eastAsia="宋体"/>
          <w:sz w:val="24"/>
        </w:rPr>
        <w:t>法院提交版应在“此致、签名、日期”处结束，避免呈现为研究报告。</w:t>
      </w:r>
    </w:p>
    <w:p>
      <w:pPr>
        <w:pStyle w:val="ListNumber"/>
        <w:spacing w:line="360" w:lineRule="auto" w:after="100"/>
      </w:pPr>
      <w:r>
        <w:rPr>
          <w:rFonts w:ascii="宋体" w:hAnsi="宋体" w:eastAsia="宋体"/>
          <w:b/>
          <w:sz w:val="24"/>
        </w:rPr>
        <w:t>最终版替换案号、代理人和证据编号。</w:t>
      </w:r>
      <w:r>
        <w:rPr>
          <w:rFonts w:ascii="宋体" w:hAnsi="宋体" w:eastAsia="宋体"/>
          <w:sz w:val="24"/>
        </w:rPr>
        <w:t>“以案卷记载为准”只适合工作稿，正式提交前必须填写。</w:t>
      </w:r>
    </w:p>
    <w:p>
      <w:pPr>
        <w:pStyle w:val="Heading1"/>
      </w:pPr>
      <w:r>
        <w:t>五、应当保留的V1核心判断</w:t>
      </w:r>
    </w:p>
    <w:p>
      <w:pPr>
        <w:pStyle w:val="ListNumber"/>
        <w:spacing w:line="360" w:lineRule="auto" w:after="100"/>
      </w:pPr>
      <w:r>
        <w:rPr>
          <w:rFonts w:ascii="宋体" w:hAnsi="宋体" w:eastAsia="宋体"/>
          <w:sz w:val="24"/>
        </w:rPr>
        <w:t>本案首先是排除妨害及物权保护纠纷，不是要求法院决定城市更新方案的诉讼。</w:t>
      </w:r>
    </w:p>
    <w:p>
      <w:pPr>
        <w:pStyle w:val="ListNumber"/>
        <w:spacing w:line="360" w:lineRule="auto" w:after="100"/>
      </w:pPr>
      <w:r>
        <w:rPr>
          <w:rFonts w:ascii="宋体" w:hAnsi="宋体" w:eastAsia="宋体"/>
          <w:sz w:val="24"/>
        </w:rPr>
        <w:t>科棚主体适格与科棚对全部历史损坏承担责任必须严格区分。</w:t>
      </w:r>
    </w:p>
    <w:p>
      <w:pPr>
        <w:pStyle w:val="ListNumber"/>
        <w:spacing w:line="360" w:lineRule="auto" w:after="100"/>
      </w:pPr>
      <w:r>
        <w:rPr>
          <w:rFonts w:ascii="宋体" w:hAnsi="宋体" w:eastAsia="宋体"/>
          <w:sz w:val="24"/>
        </w:rPr>
        <w:t>专项鉴定权限不等于整栋楼长期管理权限，不当然涵盖东301及侵入性钻孔。</w:t>
      </w:r>
    </w:p>
    <w:p>
      <w:pPr>
        <w:pStyle w:val="ListNumber"/>
        <w:spacing w:line="360" w:lineRule="auto" w:after="100"/>
      </w:pPr>
      <w:r>
        <w:rPr>
          <w:rFonts w:ascii="宋体" w:hAnsi="宋体" w:eastAsia="宋体"/>
          <w:sz w:val="24"/>
        </w:rPr>
        <w:t>诉后协调清垃圾不构成全部责任自认，只能在实际介入和协调能力范围内评价。</w:t>
      </w:r>
    </w:p>
    <w:p>
      <w:pPr>
        <w:pStyle w:val="ListNumber"/>
        <w:spacing w:line="360" w:lineRule="auto" w:after="100"/>
      </w:pPr>
      <w:r>
        <w:rPr>
          <w:rFonts w:ascii="宋体" w:hAnsi="宋体" w:eastAsia="宋体"/>
          <w:sz w:val="24"/>
        </w:rPr>
        <w:t>现有B/C材料不能支持“先B/Bsu后降为C/Csu”；2022年C/Csu不能被写成2026年当前等级。</w:t>
      </w:r>
    </w:p>
    <w:p>
      <w:pPr>
        <w:pStyle w:val="ListNumber"/>
        <w:spacing w:line="360" w:lineRule="auto" w:after="100"/>
      </w:pPr>
      <w:r>
        <w:rPr>
          <w:rFonts w:ascii="宋体" w:hAnsi="宋体" w:eastAsia="宋体"/>
          <w:sz w:val="24"/>
        </w:rPr>
        <w:t>C/Csu不等于只能围挡、不能维修或者必须拆除；但治理义务主体仍须依据产权、管理、委托和具体行为确定。</w:t>
      </w:r>
    </w:p>
    <w:p>
      <w:pPr>
        <w:pStyle w:val="ListNumber"/>
        <w:spacing w:line="360" w:lineRule="auto" w:after="100"/>
      </w:pPr>
      <w:r>
        <w:rPr>
          <w:rFonts w:ascii="宋体" w:hAnsi="宋体" w:eastAsia="宋体"/>
          <w:sz w:val="24"/>
        </w:rPr>
        <w:t>法院应优先裁判明确的具体妨害和具体修复结果，不直接决定有机更新或原拆原建。</w:t>
      </w:r>
    </w:p>
    <w:p>
      <w:pPr>
        <w:pStyle w:val="ListNumber"/>
        <w:spacing w:line="360" w:lineRule="auto" w:after="100"/>
      </w:pPr>
      <w:r>
        <w:rPr>
          <w:rFonts w:ascii="宋体" w:hAnsi="宋体" w:eastAsia="宋体"/>
          <w:sz w:val="24"/>
        </w:rPr>
        <w:t>“一屋一策”、整体更新、原拆原建、收购置换原则上更适合由必要主体在自愿调解和行政审批框架内实现。</w:t>
      </w:r>
    </w:p>
    <w:p>
      <w:pPr>
        <w:pStyle w:val="Heading1"/>
      </w:pPr>
      <w:r>
        <w:t>六、V2的最低放行条件</w:t>
      </w:r>
    </w:p>
    <w:p>
      <w:pPr>
        <w:spacing w:line="360" w:lineRule="auto" w:after="100"/>
        <w:ind w:firstLine="420"/>
      </w:pPr>
      <w:r>
        <w:rPr>
          <w:rFonts w:ascii="宋体" w:hAnsi="宋体" w:eastAsia="宋体"/>
          <w:sz w:val="24"/>
        </w:rPr>
        <w:t>V2至少必须完成以下修改，才能进入终审：</w:t>
      </w:r>
    </w:p>
    <w:p>
      <w:pPr>
        <w:pStyle w:val="ListNumber"/>
        <w:spacing w:line="360" w:lineRule="auto" w:after="100"/>
      </w:pPr>
      <w:r>
        <w:rPr>
          <w:rFonts w:ascii="宋体" w:hAnsi="宋体" w:eastAsia="宋体"/>
          <w:sz w:val="24"/>
        </w:rPr>
        <w:t>正面写入原告及其他所有权人的房屋安全责任，并解释其与开福棚改投既有管理改造依据、科棚自身行为责任的关系；</w:t>
      </w:r>
    </w:p>
    <w:p>
      <w:pPr>
        <w:pStyle w:val="ListNumber"/>
        <w:spacing w:line="360" w:lineRule="auto" w:after="100"/>
      </w:pPr>
      <w:r>
        <w:rPr>
          <w:rFonts w:ascii="宋体" w:hAnsi="宋体" w:eastAsia="宋体"/>
          <w:sz w:val="24"/>
        </w:rPr>
        <w:t>写清原告本证与被告权限抗辩举证的先后顺序；</w:t>
      </w:r>
    </w:p>
    <w:p>
      <w:pPr>
        <w:pStyle w:val="ListNumber"/>
        <w:spacing w:line="360" w:lineRule="auto" w:after="100"/>
      </w:pPr>
      <w:r>
        <w:rPr>
          <w:rFonts w:ascii="宋体" w:hAnsi="宋体" w:eastAsia="宋体"/>
          <w:sz w:val="24"/>
        </w:rPr>
        <w:t>把科棚主体适格建立在诉争主张上，不把待核线索写成已经证明直接关联；</w:t>
      </w:r>
    </w:p>
    <w:p>
      <w:pPr>
        <w:pStyle w:val="ListNumber"/>
        <w:spacing w:line="360" w:lineRule="auto" w:after="100"/>
      </w:pPr>
      <w:r>
        <w:rPr>
          <w:rFonts w:ascii="宋体" w:hAnsi="宋体" w:eastAsia="宋体"/>
          <w:sz w:val="24"/>
        </w:rPr>
        <w:t>加入承揽人责任规则，区分工作人员、承揽人、共同侵权和仅在场人员；</w:t>
      </w:r>
    </w:p>
    <w:p>
      <w:pPr>
        <w:pStyle w:val="ListNumber"/>
        <w:spacing w:line="360" w:lineRule="auto" w:after="100"/>
      </w:pPr>
      <w:r>
        <w:rPr>
          <w:rFonts w:ascii="宋体" w:hAnsi="宋体" w:eastAsia="宋体"/>
          <w:sz w:val="24"/>
        </w:rPr>
        <w:t>收窄前三项禁止性请求，删除对共有部位的一般排他禁令；</w:t>
      </w:r>
    </w:p>
    <w:p>
      <w:pPr>
        <w:pStyle w:val="ListNumber"/>
        <w:spacing w:line="360" w:lineRule="auto" w:after="100"/>
      </w:pPr>
      <w:r>
        <w:rPr>
          <w:rFonts w:ascii="宋体" w:hAnsi="宋体" w:eastAsia="宋体"/>
          <w:sz w:val="24"/>
        </w:rPr>
        <w:t>把当前安全状态、排水、废料和围挡分别标为有待补证，不以2022年C/Csu替代现状；</w:t>
      </w:r>
    </w:p>
    <w:p>
      <w:pPr>
        <w:pStyle w:val="ListNumber"/>
        <w:spacing w:line="360" w:lineRule="auto" w:after="100"/>
      </w:pPr>
      <w:r>
        <w:rPr>
          <w:rFonts w:ascii="宋体" w:hAnsi="宋体" w:eastAsia="宋体"/>
          <w:sz w:val="24"/>
        </w:rPr>
        <w:t>明确追加开福棚改投为共同被告与列第三人的条件及不同裁判后果；</w:t>
      </w:r>
    </w:p>
    <w:p>
      <w:pPr>
        <w:pStyle w:val="ListNumber"/>
        <w:spacing w:line="360" w:lineRule="auto" w:after="100"/>
      </w:pPr>
      <w:r>
        <w:rPr>
          <w:rFonts w:ascii="宋体" w:hAnsi="宋体" w:eastAsia="宋体"/>
          <w:sz w:val="24"/>
        </w:rPr>
        <w:t>按专有部分、个别共有权保护、重大共有事项三分法处理其他共有权人；</w:t>
      </w:r>
    </w:p>
    <w:p>
      <w:pPr>
        <w:pStyle w:val="ListNumber"/>
        <w:spacing w:line="360" w:lineRule="auto" w:after="100"/>
      </w:pPr>
      <w:r>
        <w:rPr>
          <w:rFonts w:ascii="宋体" w:hAnsi="宋体" w:eastAsia="宋体"/>
          <w:sz w:val="24"/>
        </w:rPr>
        <w:t>将最终诉请转化为点位、范围、期限、履行主体、技术标准和验收方式明确的文本；</w:t>
      </w:r>
    </w:p>
    <w:p>
      <w:pPr>
        <w:pStyle w:val="ListNumber"/>
        <w:spacing w:line="360" w:lineRule="auto" w:after="100"/>
      </w:pPr>
      <w:r>
        <w:rPr>
          <w:rFonts w:ascii="宋体" w:hAnsi="宋体" w:eastAsia="宋体"/>
          <w:sz w:val="24"/>
        </w:rPr>
        <w:t>证据不足且不能在举证期限内补强的请求，调整为备位、调解事项或暂不提出，不得用政策论证弥补事实缺口。</w:t>
      </w:r>
    </w:p>
    <w:p>
      <w:pPr>
        <w:pStyle w:val="Heading1"/>
      </w:pPr>
      <w:r>
        <w:t>七、独立结论</w:t>
      </w:r>
    </w:p>
    <w:p>
      <w:pPr>
        <w:spacing w:line="360" w:lineRule="auto" w:after="100"/>
        <w:ind w:firstLine="420"/>
      </w:pPr>
      <w:r>
        <w:rPr>
          <w:rFonts w:ascii="宋体" w:hAnsi="宋体" w:eastAsia="宋体"/>
          <w:sz w:val="24"/>
        </w:rPr>
        <w:t>V1关于政策边界和B/C鉴定的处理已经达到放行水平；关于诉后垃圾协调的文字控制也基本合格。尚未达到放行水平的是科棚直接行为证明、因果关系、当前安全状态、恢复请求可执行性和共有程序。上述问题中，主体行为、垃圾清运链、排水、围挡控制、2026现状安全及房屋登记属于</w:t>
      </w:r>
      <w:r>
        <w:rPr>
          <w:rFonts w:ascii="宋体" w:hAnsi="宋体" w:eastAsia="宋体"/>
          <w:b/>
          <w:sz w:val="24"/>
        </w:rPr>
        <w:t>证据缺口，不能仅靠改写消除</w:t>
      </w:r>
      <w:r>
        <w:rPr>
          <w:rFonts w:ascii="宋体" w:hAnsi="宋体" w:eastAsia="宋体"/>
          <w:sz w:val="24"/>
        </w:rPr>
        <w:t>；举证顺序、责任类型、开福棚改投程序地位、共有部分分层和诉请措辞属于</w:t>
      </w:r>
      <w:r>
        <w:rPr>
          <w:rFonts w:ascii="宋体" w:hAnsi="宋体" w:eastAsia="宋体"/>
          <w:b/>
          <w:sz w:val="24"/>
        </w:rPr>
        <w:t>可以通过V2文字与程序方案修复的问题</w:t>
      </w:r>
      <w:r>
        <w:rPr>
          <w:rFonts w:ascii="宋体" w:hAnsi="宋体" w:eastAsia="宋体"/>
          <w:sz w:val="24"/>
        </w:rPr>
        <w:t>。</w:t>
      </w:r>
    </w:p>
    <w:p>
      <w:pPr>
        <w:spacing w:line="360" w:lineRule="auto" w:after="100"/>
        <w:ind w:firstLine="420"/>
      </w:pPr>
      <w:r>
        <w:rPr>
          <w:rFonts w:ascii="宋体" w:hAnsi="宋体" w:eastAsia="宋体"/>
          <w:sz w:val="24"/>
        </w:rPr>
        <w:t>如不补取得原始视听资料、完整公安记录、鉴定委托及点位资料，最稳妥的裁判主线只能是：在原告证明科棚或其工作人员具体实施侵入性操作的范围内，判令停止相应无权行为并修复具体损坏。共有排水、围挡、整体加固和恢复整栋安全使用功能，不宜仅凭现有证据直接对科棚作出给付判决。</w:t>
      </w:r>
    </w:p>
    <w:p>
      <w:pPr>
        <w:pStyle w:val="Heading1"/>
      </w:pPr>
      <w:r>
        <w:t>八、审查所依据的主要原始材料与官方法源</w:t>
      </w:r>
    </w:p>
    <w:p>
      <w:pPr>
        <w:pStyle w:val="Heading2"/>
      </w:pPr>
      <w:r>
        <w:t>（一）项目原始材料</w:t>
      </w:r>
    </w:p>
    <w:p>
      <w:pPr>
        <w:pStyle w:val="ListNumber"/>
        <w:spacing w:line="360" w:lineRule="auto" w:after="100"/>
      </w:pPr>
      <w:r>
        <w:rPr>
          <w:rFonts w:ascii="宋体" w:hAnsi="宋体" w:eastAsia="宋体"/>
          <w:sz w:val="24"/>
        </w:rPr>
        <w:t>/home/luckydorothy/codex/Claude-memory/楠木厅12/output_楠木厅12号_恢复原状民事诉讼_证据分册/待打印_20260508_203409/00_民事起诉状_立案最小版.md</w:t>
      </w:r>
    </w:p>
    <w:p>
      <w:pPr>
        <w:pStyle w:val="ListNumber"/>
        <w:spacing w:line="360" w:lineRule="auto" w:after="100"/>
      </w:pPr>
      <w:r>
        <w:rPr>
          <w:rFonts w:ascii="宋体" w:hAnsi="宋体" w:eastAsia="宋体"/>
          <w:sz w:val="24"/>
        </w:rPr>
        <w:t>/home/luckydorothy/codex/Claude-memory/楠木厅12/output_楠木厅12号_恢复原状民事诉讼_证据分册/待打印_20260508_203409/02_证据目录及证据材料/证据目录_立案最小版.md</w:t>
      </w:r>
    </w:p>
    <w:p>
      <w:pPr>
        <w:pStyle w:val="ListNumber"/>
        <w:spacing w:line="360" w:lineRule="auto" w:after="100"/>
      </w:pPr>
      <w:r>
        <w:rPr>
          <w:rFonts w:ascii="宋体" w:hAnsi="宋体" w:eastAsia="宋体"/>
          <w:sz w:val="24"/>
        </w:rPr>
        <w:t>/home/luckydorothy/codex/Claude-memory/楠木厅12/liyungfang_kepeng_kaifu_chengtou_first_case_20260429/10—判决书/证据1_行政判决书（住建局不履行法定职责一审+二审）.pdf</w:t>
      </w:r>
    </w:p>
    <w:p>
      <w:pPr>
        <w:pStyle w:val="ListNumber"/>
        <w:spacing w:line="360" w:lineRule="auto" w:after="100"/>
      </w:pPr>
      <w:r>
        <w:rPr>
          <w:rFonts w:ascii="宋体" w:hAnsi="宋体" w:eastAsia="宋体"/>
          <w:sz w:val="24"/>
        </w:rPr>
        <w:t>/home/luckydorothy/codex/Claude-memory/楠木厅12/liyungfang_kepeng_kaifu_chengtou_first_case_20260429/10—判决书/证据3_2022年C级危房鉴定报告（JD-2022-0200）.pdf</w:t>
      </w:r>
    </w:p>
    <w:p>
      <w:pPr>
        <w:pStyle w:val="ListNumber"/>
        <w:spacing w:line="360" w:lineRule="auto" w:after="100"/>
      </w:pPr>
      <w:r>
        <w:rPr>
          <w:rFonts w:ascii="宋体" w:hAnsi="宋体" w:eastAsia="宋体"/>
          <w:sz w:val="24"/>
        </w:rPr>
        <w:t>/home/luckydorothy/codex/Claude-memory/楠木厅12/排除妨害/photo_2026-08-12_14-54-07.jpg</w:t>
      </w:r>
    </w:p>
    <w:p>
      <w:pPr>
        <w:pStyle w:val="ListNumber"/>
        <w:spacing w:line="360" w:lineRule="auto" w:after="100"/>
      </w:pPr>
      <w:r>
        <w:rPr>
          <w:rFonts w:ascii="宋体" w:hAnsi="宋体" w:eastAsia="宋体"/>
          <w:sz w:val="24"/>
        </w:rPr>
        <w:t>/home/luckydorothy/codex/Claude-memory/楠木厅12/liyungfang_kepeng_kaifu_chengtou_first_case_20260429/04_录音录像整理稿/2026-04-29现场沟通录音录像文字整理稿.md</w:t>
      </w:r>
    </w:p>
    <w:p>
      <w:pPr>
        <w:pStyle w:val="Heading2"/>
      </w:pPr>
      <w:r>
        <w:t>（二）官方法源</w:t>
      </w:r>
    </w:p>
    <w:p>
      <w:pPr>
        <w:pStyle w:val="ListNumber"/>
        <w:spacing w:line="360" w:lineRule="auto" w:after="100"/>
      </w:pPr>
      <w:r>
        <w:rPr>
          <w:rFonts w:ascii="宋体" w:hAnsi="宋体" w:eastAsia="宋体"/>
          <w:sz w:val="24"/>
        </w:rPr>
        <w:t>《中华人民共和国民法典》：全国人大国家法律法规数据库PDF，/home/luckydorothy/codex/Claude-memory/楠木厅12/排除妨害/代理意见综合重构_20260814/04_法源原文/中华人民共和国民法典_国家法律法规数据库.pdf。</w:t>
      </w:r>
    </w:p>
    <w:p>
      <w:pPr>
        <w:pStyle w:val="ListNumber"/>
        <w:spacing w:line="360" w:lineRule="auto" w:after="100"/>
      </w:pPr>
      <w:r>
        <w:rPr>
          <w:rFonts w:ascii="宋体" w:hAnsi="宋体" w:eastAsia="宋体"/>
          <w:sz w:val="24"/>
        </w:rPr>
        <w:t>《最高人民法院关于适用〈中华人民共和国民事诉讼法〉的解释》第七十二条、第七十三条：最高人民法院公报，https://gongbao.court.gov.cn/Details/63ff48da6a9792f8ad1cb65a8b99d1.html 。</w:t>
      </w:r>
    </w:p>
    <w:p>
      <w:pPr>
        <w:pStyle w:val="ListNumber"/>
        <w:spacing w:line="360" w:lineRule="auto" w:after="100"/>
      </w:pPr>
      <w:r>
        <w:rPr>
          <w:rFonts w:ascii="宋体" w:hAnsi="宋体" w:eastAsia="宋体"/>
          <w:sz w:val="24"/>
        </w:rPr>
        <w:t>《最高人民法院关于审理建筑物区分所有权纠纷案件适用法律若干问题的解释》第三条、第十四条、第十五条：最高人民法院公报，https://gongbao.court.gov.cn/Details/02366bc51bd3f8e9843808ce3eec93.html 。</w:t>
      </w:r>
    </w:p>
    <w:p>
      <w:pPr>
        <w:pStyle w:val="ListNumber"/>
        <w:spacing w:line="360" w:lineRule="auto" w:after="100"/>
      </w:pPr>
      <w:r>
        <w:rPr>
          <w:rFonts w:ascii="宋体" w:hAnsi="宋体" w:eastAsia="宋体"/>
          <w:sz w:val="24"/>
        </w:rPr>
        <w:t>《最高人民法院关于民事诉讼证据的若干规定》：最高人民法院官方文本，https://ipc.court.gov.cn/zh-cn/news/view-393.html 。</w:t>
      </w:r>
    </w:p>
    <w:p>
      <w:pPr>
        <w:pStyle w:val="ListNumber"/>
        <w:spacing w:line="360" w:lineRule="auto" w:after="100"/>
      </w:pPr>
      <w:r>
        <w:rPr>
          <w:rFonts w:ascii="宋体" w:hAnsi="宋体" w:eastAsia="宋体"/>
          <w:sz w:val="24"/>
        </w:rPr>
        <w:t>《长沙市房屋安全管理条例》：湖南省人大批准信息，https://www.hnrd.gov.cn/content/2015/12/22/7260245.html ；条文核验页，https://policy.mofcom.gov.cn/claw/clawContent.shtml?id=57931 。</w:t>
      </w:r>
    </w:p>
    <w:p>
      <w:pPr>
        <w:pStyle w:val="ListNumber"/>
        <w:spacing w:line="360" w:lineRule="auto" w:after="100"/>
      </w:pPr>
      <w:r>
        <w:rPr>
          <w:rFonts w:ascii="宋体" w:hAnsi="宋体" w:eastAsia="宋体"/>
          <w:sz w:val="24"/>
        </w:rPr>
        <w:t>《城市危险房屋管理规定》：司法部官方文本，https://www.moj.gov.cn/pub/sfbgw/flfggz/flfggzbmgz/200411/t20041112_143722.html 。</w:t>
      </w:r>
    </w:p>
    <w:p>
      <w:pPr>
        <w:pStyle w:val="ListNumber"/>
        <w:spacing w:line="360" w:lineRule="auto" w:after="100"/>
      </w:pPr>
      <w:r>
        <w:rPr>
          <w:rFonts w:ascii="宋体" w:hAnsi="宋体" w:eastAsia="宋体"/>
          <w:sz w:val="24"/>
        </w:rPr>
        <w:t>《长沙市全面推进城市更新行动方案（2026—2030年）》：长沙市官方存档，/home/luckydorothy/codex/Claude-memory/楠木厅12/排除妨害/代理意见综合重构_20260814/04_法源原文/01_长沙市全面推进城市更新行动方案_官方网页.html。</w:t>
      </w:r>
    </w:p>
    <w:p>
      <w:pPr>
        <w:pStyle w:val="ListNumber"/>
        <w:spacing w:line="360" w:lineRule="auto" w:after="100"/>
      </w:pPr>
      <w:r>
        <w:rPr>
          <w:rFonts w:ascii="宋体" w:hAnsi="宋体" w:eastAsia="宋体"/>
          <w:sz w:val="24"/>
        </w:rPr>
        <w:t>《长沙市城镇危旧房屋改造实施意见》：长沙市官方存档，/home/luckydorothy/codex/Claude-memory/楠木厅12/排除妨害/代理意见综合重构_20260814/04_法源原文/02_长沙市城镇危旧房屋改造实施意见_官方网页.html。</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Legal_Reviewer_V1</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