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Pr>
        <w:spacing w:after="360"/>
        <w:jc w:val="center"/>
      </w:pPr>
      <w:r>
        <w:rPr>
          <w:rFonts w:ascii="方正小标宋简体" w:hAnsi="方正小标宋简体" w:eastAsia="方正小标宋简体"/>
          <w:b/>
          <w:color w:val="17365D"/>
          <w:sz w:val="48"/>
        </w:rPr>
        <w:t>Legal Language Reviewer V1</w:t>
      </w:r>
    </w:p>
    <w:p>
      <w:pPr>
        <w:jc w:val="center"/>
      </w:pPr>
      <w:r>
        <w:rPr>
          <w:rFonts w:ascii="宋体" w:hAnsi="宋体" w:eastAsia="宋体"/>
          <w:color w:val="5F6B78"/>
          <w:sz w:val="24"/>
        </w:rPr>
        <w:t>李运芳诉长沙科棚潮宗街商业管理有限公司排除妨害纠纷案</w:t>
      </w:r>
    </w:p>
    <w:p>
      <w:pPr>
        <w:spacing w:before="2800"/>
        <w:jc w:val="center"/>
      </w:pPr>
      <w:r>
        <w:rPr>
          <w:rFonts w:ascii="宋体" w:hAnsi="宋体" w:eastAsia="宋体"/>
          <w:color w:val="5F6B78"/>
          <w:sz w:val="22"/>
        </w:rPr>
        <w:t>原始材料与官方法源核验 · 2026年8月14日</w:t>
      </w:r>
    </w:p>
    <w:p>
      <w:r>
        <w:br w:type="page"/>
      </w:r>
    </w:p>
    <w:p>
      <w:pPr>
        <w:pStyle w:val="Heading1"/>
      </w:pPr>
      <w:r>
        <w:t>一、审查范围与结论</w:t>
      </w:r>
    </w:p>
    <w:p>
      <w:pPr>
        <w:spacing w:line="360" w:lineRule="auto" w:after="100"/>
        <w:ind w:firstLine="420"/>
      </w:pPr>
      <w:r>
        <w:rPr>
          <w:rFonts w:ascii="宋体" w:hAnsi="宋体" w:eastAsia="宋体"/>
          <w:sz w:val="24"/>
        </w:rPr>
        <w:t>本次审查仅评价《新版代理意见_长沙城市更新政策综合重构版_V1》的法律语言、概念边界和法院文书表达，不评价原告诉请能否获得支持，也不重新判断证据真伪及证明力。</w:t>
      </w:r>
    </w:p>
    <w:p>
      <w:pPr>
        <w:spacing w:line="360" w:lineRule="auto" w:after="100"/>
        <w:ind w:firstLine="420"/>
      </w:pPr>
      <w:r>
        <w:rPr>
          <w:rFonts w:ascii="宋体" w:hAnsi="宋体" w:eastAsia="宋体"/>
          <w:sz w:val="24"/>
        </w:rPr>
        <w:t>V1已经完成四项关键区分：其一，被告主体适格与各项实体责任分开论述；其二，诉后协调清运与责任自认分开论述；其三，专项鉴定权限与长期管理职责分开论述；其四，城市更新政策与民事请求权基础分开论述。全文没有出现“告错人”“垃圾都清了说明承认责任”“有权鉴定就必须负责”等明显口语化或概念错误表达。</w:t>
      </w:r>
    </w:p>
    <w:p>
      <w:pPr>
        <w:spacing w:line="360" w:lineRule="auto" w:after="100"/>
        <w:ind w:firstLine="420"/>
      </w:pPr>
      <w:r>
        <w:rPr>
          <w:rFonts w:ascii="宋体" w:hAnsi="宋体" w:eastAsia="宋体"/>
          <w:sz w:val="24"/>
        </w:rPr>
        <w:t>但V1尚未达到直接提交法院所需的语言终审标准。主要问题不是立场过强，而是若干用语仍带有内部工作底稿色彩，少数句子存在逻辑联结歧义，个别概念仍需进一步拆分，尤其是“委托人的适格性”“转委托/转授权”“必要共同诉讼与调解”“C/Csu、B/Bsu”等表述。建议逐句完成下列修改后再形成V2。</w:t>
      </w:r>
    </w:p>
    <w:p>
      <w:pPr>
        <w:pStyle w:val="Heading1"/>
      </w:pPr>
      <w:r>
        <w:t>二、六项评分</w:t>
      </w:r>
    </w:p>
    <w:tbl>
      <w:tblPr>
        <w:tblW w:type="auto" w:w="0"/>
        <w:jc w:val="center"/>
        <w:tblLayout w:type="autofit"/>
        <w:tblLook w:firstColumn="1" w:firstRow="1" w:lastColumn="0" w:lastRow="0" w:noHBand="0" w:noVBand="1" w:val="04A0"/>
      </w:tblPr>
      <w:tblGrid>
        <w:gridCol w:w="2986"/>
        <w:gridCol w:w="2986"/>
        <w:gridCol w:w="2986"/>
      </w:tblGrid>
      <w:tr>
        <w:trPr>
          <w:tblHeader/>
        </w:trPr>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审查项目</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评分</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结论</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法律术语准确度</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93/100</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主体适格、物权请求权、侵权责任、自认等核心术语总体准确；“委托人的适格性”“给付判项”“转授权”等用语仍需校正。</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法律概念区分度</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94/100</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已区分主体适格与实体责任、政策路径与民事义务；必要共同诉讼与自愿调解的关系、委托与授权的表达仍需进一步澄清。</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法院文书专业度</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92/100</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结构完整、语气克制，但仍存在“项目材料”“待核线索”“证据闭环”“重构”等工作底稿语言，且法源说明置于签章之后不符合常见提交文书结构。</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口语化控制</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96/100</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未出现明显口语化标题或情绪化措辞；“被遮蔽”“异化为无限期剥夺”等少量修辞宜收束。</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过度推论控制</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94/100</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大部分不确定事实均作限定；“持续性”“真实旧权证”“长期未进入明确治理程序”“若不存在委托则不能取得权源”等仍有先行认定或绝对化风险。</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法律与政策边界表达</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98/100</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明确说明政策不能替代民事责任要件，不能直接产生原拆原建、收购或城市更新请求权；仅需将个别“政策能够……”改为更审慎的“政策可作为……背景或线索”。</w:t>
            </w:r>
          </w:p>
        </w:tc>
      </w:tr>
    </w:tbl>
    <w:p>
      <w:pPr>
        <w:spacing w:after="20"/>
      </w:pPr>
    </w:p>
    <w:p>
      <w:pPr>
        <w:pStyle w:val="Heading1"/>
      </w:pPr>
      <w:r>
        <w:t>三、必须逐句修改的内容</w:t>
      </w:r>
    </w:p>
    <w:p>
      <w:pPr>
        <w:pStyle w:val="Heading2"/>
      </w:pPr>
      <w:r>
        <w:t>1. 文书依据不应把尚未取得的材料写成既有依据</w:t>
      </w:r>
    </w:p>
    <w:p>
      <w:pPr>
        <w:pStyle w:val="ListBullet"/>
        <w:spacing w:line="360" w:lineRule="auto" w:after="100"/>
      </w:pPr>
      <w:r>
        <w:rPr>
          <w:rFonts w:ascii="宋体" w:hAnsi="宋体" w:eastAsia="宋体"/>
          <w:sz w:val="24"/>
        </w:rPr>
        <w:t>位置：第10行。</w:t>
      </w:r>
    </w:p>
    <w:p>
      <w:pPr>
        <w:pStyle w:val="ListBullet"/>
        <w:spacing w:line="360" w:lineRule="auto" w:after="100"/>
      </w:pPr>
      <w:r>
        <w:rPr>
          <w:rFonts w:ascii="宋体" w:hAnsi="宋体" w:eastAsia="宋体"/>
          <w:sz w:val="24"/>
        </w:rPr>
        <w:t>原句：“受原告李运芳委托，现依据已经提交的证据、生效裁判、原告拟申请调取的材料及截至2026年8月现行法律政策，就本案发表代理意见。”</w:t>
      </w:r>
    </w:p>
    <w:p>
      <w:pPr>
        <w:pStyle w:val="ListBullet"/>
        <w:spacing w:line="360" w:lineRule="auto" w:after="100"/>
      </w:pPr>
      <w:r>
        <w:rPr>
          <w:rFonts w:ascii="宋体" w:hAnsi="宋体" w:eastAsia="宋体"/>
          <w:sz w:val="24"/>
        </w:rPr>
        <w:t>问题：“拟申请调取的材料”尚未取得，不能与“已经提交的证据”并列作为代理意见的事实依据；“现行法律政策”也未区分规范依据与政策背景。</w:t>
      </w:r>
    </w:p>
    <w:p>
      <w:pPr>
        <w:pStyle w:val="ListBullet"/>
        <w:spacing w:line="360" w:lineRule="auto" w:after="100"/>
      </w:pPr>
      <w:r>
        <w:rPr>
          <w:rFonts w:ascii="宋体" w:hAnsi="宋体" w:eastAsia="宋体"/>
          <w:sz w:val="24"/>
        </w:rPr>
        <w:t>建议改写：“受原告李运芳委托，现依据已经提交的证据、生效裁判，并结合原告拟申请调查收集的证据线索以及截至本意见出具之日现行有效的法律规范和公开政策文件，就本案发表代理意见。”</w:t>
      </w:r>
    </w:p>
    <w:p>
      <w:pPr>
        <w:pStyle w:val="Heading2"/>
      </w:pPr>
      <w:r>
        <w:t>2. “行为、过错、因果关系和义务来源”不能概括所有物权保护请求的构成</w:t>
      </w:r>
    </w:p>
    <w:p>
      <w:pPr>
        <w:pStyle w:val="ListBullet"/>
        <w:spacing w:line="360" w:lineRule="auto" w:after="100"/>
      </w:pPr>
      <w:r>
        <w:rPr>
          <w:rFonts w:ascii="宋体" w:hAnsi="宋体" w:eastAsia="宋体"/>
          <w:sz w:val="24"/>
        </w:rPr>
        <w:t>位置：第12行末句。</w:t>
      </w:r>
    </w:p>
    <w:p>
      <w:pPr>
        <w:pStyle w:val="ListBullet"/>
        <w:spacing w:line="360" w:lineRule="auto" w:after="100"/>
      </w:pPr>
      <w:r>
        <w:rPr>
          <w:rFonts w:ascii="宋体" w:hAnsi="宋体" w:eastAsia="宋体"/>
          <w:sz w:val="24"/>
        </w:rPr>
        <w:t>原句：“长沙市2026年城市更新政策可以说明危险住房的现实治理路径，并为调查、调解提供制度背景，但不能替代民事责任的行为、过错、因果关系和义务来源。”</w:t>
      </w:r>
    </w:p>
    <w:p>
      <w:pPr>
        <w:pStyle w:val="ListBullet"/>
        <w:spacing w:line="360" w:lineRule="auto" w:after="100"/>
      </w:pPr>
      <w:r>
        <w:rPr>
          <w:rFonts w:ascii="宋体" w:hAnsi="宋体" w:eastAsia="宋体"/>
          <w:sz w:val="24"/>
        </w:rPr>
        <w:t>问题：物权请求权通常不以行为人过错为统一构成要件，原句容易把物权请求权与侵权损害赔偿责任的构成要件混同。</w:t>
      </w:r>
    </w:p>
    <w:p>
      <w:pPr>
        <w:pStyle w:val="ListBullet"/>
        <w:spacing w:line="360" w:lineRule="auto" w:after="100"/>
      </w:pPr>
      <w:r>
        <w:rPr>
          <w:rFonts w:ascii="宋体" w:hAnsi="宋体" w:eastAsia="宋体"/>
          <w:sz w:val="24"/>
        </w:rPr>
        <w:t>建议改写：“长沙市2026年城市更新政策可以说明危险住房的现实治理路径，并为调查取证及调解提供制度背景，但不能替代对具体请求权基础、责任主体、妨害状态、因果关系及义务来源的审查；涉及侵权责任的，还应依法审查过错等相应构成要件。”</w:t>
      </w:r>
    </w:p>
    <w:p>
      <w:pPr>
        <w:pStyle w:val="Heading2"/>
      </w:pPr>
      <w:r>
        <w:t>3. 标题不宜先行认定妨害具有持续性</w:t>
      </w:r>
    </w:p>
    <w:p>
      <w:pPr>
        <w:pStyle w:val="ListBullet"/>
        <w:spacing w:line="360" w:lineRule="auto" w:after="100"/>
      </w:pPr>
      <w:r>
        <w:rPr>
          <w:rFonts w:ascii="宋体" w:hAnsi="宋体" w:eastAsia="宋体"/>
          <w:sz w:val="24"/>
        </w:rPr>
        <w:t>位置：第14行标题。</w:t>
      </w:r>
    </w:p>
    <w:p>
      <w:pPr>
        <w:pStyle w:val="ListBullet"/>
        <w:spacing w:line="360" w:lineRule="auto" w:after="100"/>
      </w:pPr>
      <w:r>
        <w:rPr>
          <w:rFonts w:ascii="宋体" w:hAnsi="宋体" w:eastAsia="宋体"/>
          <w:sz w:val="24"/>
        </w:rPr>
        <w:t>原句：“本案系基于物权保护产生的持续性排除妨害纠纷，审理重点不应停留于一次鉴定行为。”</w:t>
      </w:r>
    </w:p>
    <w:p>
      <w:pPr>
        <w:pStyle w:val="ListBullet"/>
        <w:spacing w:line="360" w:lineRule="auto" w:after="100"/>
      </w:pPr>
      <w:r>
        <w:rPr>
          <w:rFonts w:ascii="宋体" w:hAnsi="宋体" w:eastAsia="宋体"/>
          <w:sz w:val="24"/>
        </w:rPr>
        <w:t>问题：“持续性”属于待由现状证据证明的事实判断；“不应停留于”略具评论性。</w:t>
      </w:r>
    </w:p>
    <w:p>
      <w:pPr>
        <w:pStyle w:val="ListBullet"/>
        <w:spacing w:line="360" w:lineRule="auto" w:after="100"/>
      </w:pPr>
      <w:r>
        <w:rPr>
          <w:rFonts w:ascii="宋体" w:hAnsi="宋体" w:eastAsia="宋体"/>
          <w:sz w:val="24"/>
        </w:rPr>
        <w:t>建议改写：“本案系物权保护项下的排除妨害纠纷，除被诉鉴定行为外，尚应分别审查现存妨害状态及具体毁损。”</w:t>
      </w:r>
    </w:p>
    <w:p>
      <w:pPr>
        <w:pStyle w:val="Heading2"/>
      </w:pPr>
      <w:r>
        <w:t>4. “依法享有权益的通行、排水等共有部分”语法和权利客体不清</w:t>
      </w:r>
    </w:p>
    <w:p>
      <w:pPr>
        <w:pStyle w:val="ListBullet"/>
        <w:spacing w:line="360" w:lineRule="auto" w:after="100"/>
      </w:pPr>
      <w:r>
        <w:rPr>
          <w:rFonts w:ascii="宋体" w:hAnsi="宋体" w:eastAsia="宋体"/>
          <w:sz w:val="24"/>
        </w:rPr>
        <w:t>位置：第16行首句。</w:t>
      </w:r>
    </w:p>
    <w:p>
      <w:pPr>
        <w:pStyle w:val="ListBullet"/>
        <w:spacing w:line="360" w:lineRule="auto" w:after="100"/>
      </w:pPr>
      <w:r>
        <w:rPr>
          <w:rFonts w:ascii="宋体" w:hAnsi="宋体" w:eastAsia="宋体"/>
          <w:sz w:val="24"/>
        </w:rPr>
        <w:t>原句：“原告对涉案东301专有房屋及其依法享有权益的通行、排水等共有部分享有受法律保护的物权。”</w:t>
      </w:r>
    </w:p>
    <w:p>
      <w:pPr>
        <w:pStyle w:val="ListBullet"/>
        <w:spacing w:line="360" w:lineRule="auto" w:after="100"/>
      </w:pPr>
      <w:r>
        <w:rPr>
          <w:rFonts w:ascii="宋体" w:hAnsi="宋体" w:eastAsia="宋体"/>
          <w:sz w:val="24"/>
        </w:rPr>
        <w:t>问题：通行、排水是功能或权能，不宜与“共有部分”直接并列；“物权”应具体到专有部分所有权及共有、共同管理权。</w:t>
      </w:r>
    </w:p>
    <w:p>
      <w:pPr>
        <w:pStyle w:val="ListBullet"/>
        <w:spacing w:line="360" w:lineRule="auto" w:after="100"/>
      </w:pPr>
      <w:r>
        <w:rPr>
          <w:rFonts w:ascii="宋体" w:hAnsi="宋体" w:eastAsia="宋体"/>
          <w:sz w:val="24"/>
        </w:rPr>
        <w:t>建议改写：“原告对涉案东301专有部分享有所有权，对为使用该专有部分所必需的共有通道、共有排水设施等部分享有共有和共同管理的权利。”</w:t>
      </w:r>
    </w:p>
    <w:p>
      <w:pPr>
        <w:pStyle w:val="Heading2"/>
      </w:pPr>
      <w:r>
        <w:t>5. “未经同意、授权或者法定程序”存在选择关系歧义</w:t>
      </w:r>
    </w:p>
    <w:p>
      <w:pPr>
        <w:pStyle w:val="ListBullet"/>
        <w:spacing w:line="360" w:lineRule="auto" w:after="100"/>
      </w:pPr>
      <w:r>
        <w:rPr>
          <w:rFonts w:ascii="宋体" w:hAnsi="宋体" w:eastAsia="宋体"/>
          <w:sz w:val="24"/>
        </w:rPr>
        <w:t>位置：第18行、第154行、第180行同类表述。</w:t>
      </w:r>
    </w:p>
    <w:p>
      <w:pPr>
        <w:pStyle w:val="ListBullet"/>
        <w:spacing w:line="360" w:lineRule="auto" w:after="100"/>
      </w:pPr>
      <w:r>
        <w:rPr>
          <w:rFonts w:ascii="宋体" w:hAnsi="宋体" w:eastAsia="宋体"/>
          <w:sz w:val="24"/>
        </w:rPr>
        <w:t>原句：“制止未经同意、授权或者法定程序进入原告专有部分……”</w:t>
      </w:r>
    </w:p>
    <w:p>
      <w:pPr>
        <w:pStyle w:val="ListBullet"/>
        <w:spacing w:line="360" w:lineRule="auto" w:after="100"/>
      </w:pPr>
      <w:r>
        <w:rPr>
          <w:rFonts w:ascii="宋体" w:hAnsi="宋体" w:eastAsia="宋体"/>
          <w:sz w:val="24"/>
        </w:rPr>
        <w:t>问题：“或者”可能被理解为仅欠缺三者之一即当然违法；“同意”“授权”“法定程序”也不是完全并列的权限来源。</w:t>
      </w:r>
    </w:p>
    <w:p>
      <w:pPr>
        <w:pStyle w:val="ListBullet"/>
        <w:spacing w:line="360" w:lineRule="auto" w:after="100"/>
      </w:pPr>
      <w:r>
        <w:rPr>
          <w:rFonts w:ascii="宋体" w:hAnsi="宋体" w:eastAsia="宋体"/>
          <w:sz w:val="24"/>
        </w:rPr>
        <w:t>建议改写：“制止在未取得原告同意且无其他合法权限来源、亦未履行必要程序的情况下进入原告专有部分并实施钻孔、凿墙、取样等侵入性行为……”</w:t>
      </w:r>
    </w:p>
    <w:p>
      <w:pPr>
        <w:pStyle w:val="ListBullet"/>
        <w:spacing w:line="360" w:lineRule="auto" w:after="100"/>
      </w:pPr>
      <w:r>
        <w:rPr>
          <w:rFonts w:ascii="宋体" w:hAnsi="宋体" w:eastAsia="宋体"/>
          <w:sz w:val="24"/>
        </w:rPr>
        <w:t>第154行建议相应改为：“如果原告仅请求科棚停止在无合法权限来源且未履行必要程序的情况下进入东301……”</w:t>
      </w:r>
    </w:p>
    <w:p>
      <w:pPr>
        <w:pStyle w:val="ListBullet"/>
        <w:spacing w:line="360" w:lineRule="auto" w:after="100"/>
      </w:pPr>
      <w:r>
        <w:rPr>
          <w:rFonts w:ascii="宋体" w:hAnsi="宋体" w:eastAsia="宋体"/>
          <w:sz w:val="24"/>
        </w:rPr>
        <w:t>第180行建议相应改为：“停止在无合法权限来源且未履行必要程序的情况下进入专有部分并实施侵入性操作……”</w:t>
      </w:r>
    </w:p>
    <w:p>
      <w:pPr>
        <w:pStyle w:val="Heading2"/>
      </w:pPr>
      <w:r>
        <w:t>6. “被遮蔽”属于修辞性表达</w:t>
      </w:r>
    </w:p>
    <w:p>
      <w:pPr>
        <w:pStyle w:val="ListBullet"/>
        <w:spacing w:line="360" w:lineRule="auto" w:after="100"/>
      </w:pPr>
      <w:r>
        <w:rPr>
          <w:rFonts w:ascii="宋体" w:hAnsi="宋体" w:eastAsia="宋体"/>
          <w:sz w:val="24"/>
        </w:rPr>
        <w:t>位置：第18行末句。</w:t>
      </w:r>
    </w:p>
    <w:p>
      <w:pPr>
        <w:pStyle w:val="ListBullet"/>
        <w:spacing w:line="360" w:lineRule="auto" w:after="100"/>
      </w:pPr>
      <w:r>
        <w:rPr>
          <w:rFonts w:ascii="宋体" w:hAnsi="宋体" w:eastAsia="宋体"/>
          <w:sz w:val="24"/>
        </w:rPr>
        <w:t>原句：“第二类问题不能因争议最初表现为‘是否有权鉴定’而被遮蔽。”</w:t>
      </w:r>
    </w:p>
    <w:p>
      <w:pPr>
        <w:pStyle w:val="ListBullet"/>
        <w:spacing w:line="360" w:lineRule="auto" w:after="100"/>
      </w:pPr>
      <w:r>
        <w:rPr>
          <w:rFonts w:ascii="宋体" w:hAnsi="宋体" w:eastAsia="宋体"/>
          <w:sz w:val="24"/>
        </w:rPr>
        <w:t>问题：结论含义正确，但“被遮蔽”不够裁判文书化。</w:t>
      </w:r>
    </w:p>
    <w:p>
      <w:pPr>
        <w:pStyle w:val="ListBullet"/>
        <w:spacing w:line="360" w:lineRule="auto" w:after="100"/>
      </w:pPr>
      <w:r>
        <w:rPr>
          <w:rFonts w:ascii="宋体" w:hAnsi="宋体" w:eastAsia="宋体"/>
          <w:sz w:val="24"/>
        </w:rPr>
        <w:t>建议改写：“第二类问题与鉴定权限争议具有不同的待证事实和责任基础，仍应作为独立争点予以审查。”</w:t>
      </w:r>
    </w:p>
    <w:p>
      <w:pPr>
        <w:pStyle w:val="Heading2"/>
      </w:pPr>
      <w:r>
        <w:t>7. “严格分层”宜改为法律关系区分用语</w:t>
      </w:r>
    </w:p>
    <w:p>
      <w:pPr>
        <w:pStyle w:val="ListBullet"/>
        <w:spacing w:line="360" w:lineRule="auto" w:after="100"/>
      </w:pPr>
      <w:r>
        <w:rPr>
          <w:rFonts w:ascii="宋体" w:hAnsi="宋体" w:eastAsia="宋体"/>
          <w:sz w:val="24"/>
        </w:rPr>
        <w:t>位置：第20行末句。</w:t>
      </w:r>
    </w:p>
    <w:p>
      <w:pPr>
        <w:pStyle w:val="ListBullet"/>
        <w:spacing w:line="360" w:lineRule="auto" w:after="100"/>
      </w:pPr>
      <w:r>
        <w:rPr>
          <w:rFonts w:ascii="宋体" w:hAnsi="宋体" w:eastAsia="宋体"/>
          <w:sz w:val="24"/>
        </w:rPr>
        <w:t>原句：“整体更新、‘一屋一策’、原拆原建或产权整合，则应与民事判项严格分层。”</w:t>
      </w:r>
    </w:p>
    <w:p>
      <w:pPr>
        <w:pStyle w:val="ListBullet"/>
        <w:spacing w:line="360" w:lineRule="auto" w:after="100"/>
      </w:pPr>
      <w:r>
        <w:rPr>
          <w:rFonts w:ascii="宋体" w:hAnsi="宋体" w:eastAsia="宋体"/>
          <w:sz w:val="24"/>
        </w:rPr>
        <w:t>问题：“分层”偏内部策略语言。</w:t>
      </w:r>
    </w:p>
    <w:p>
      <w:pPr>
        <w:pStyle w:val="ListBullet"/>
        <w:spacing w:line="360" w:lineRule="auto" w:after="100"/>
      </w:pPr>
      <w:r>
        <w:rPr>
          <w:rFonts w:ascii="宋体" w:hAnsi="宋体" w:eastAsia="宋体"/>
          <w:sz w:val="24"/>
        </w:rPr>
        <w:t>建议改写：“整体更新、‘一屋一策’、原拆原建或产权整合等事项，应当与人民法院能够直接裁判的民事责任内容相区分。”</w:t>
      </w:r>
    </w:p>
    <w:p>
      <w:pPr>
        <w:pStyle w:val="Heading2"/>
      </w:pPr>
      <w:r>
        <w:t>8. “真实旧权证”“均能够证明”带有先行认证色彩</w:t>
      </w:r>
    </w:p>
    <w:p>
      <w:pPr>
        <w:pStyle w:val="ListBullet"/>
        <w:spacing w:line="360" w:lineRule="auto" w:after="100"/>
      </w:pPr>
      <w:r>
        <w:rPr>
          <w:rFonts w:ascii="宋体" w:hAnsi="宋体" w:eastAsia="宋体"/>
          <w:sz w:val="24"/>
        </w:rPr>
        <w:t>位置：第24行、第26行。</w:t>
      </w:r>
    </w:p>
    <w:p>
      <w:pPr>
        <w:pStyle w:val="ListBullet"/>
        <w:spacing w:line="360" w:lineRule="auto" w:after="100"/>
      </w:pPr>
      <w:r>
        <w:rPr>
          <w:rFonts w:ascii="宋体" w:hAnsi="宋体" w:eastAsia="宋体"/>
          <w:sz w:val="24"/>
        </w:rPr>
        <w:t>原句：“原告留存的真实旧《房屋所有权证》及……生效行政判决均能够证明其产权基础。”</w:t>
      </w:r>
    </w:p>
    <w:p>
      <w:pPr>
        <w:pStyle w:val="ListBullet"/>
        <w:spacing w:line="360" w:lineRule="auto" w:after="100"/>
      </w:pPr>
      <w:r>
        <w:rPr>
          <w:rFonts w:ascii="宋体" w:hAnsi="宋体" w:eastAsia="宋体"/>
          <w:sz w:val="24"/>
        </w:rPr>
        <w:t>问题：“真实”属于需经质证、认证后确定的证据属性；“产权基础”较泛。</w:t>
      </w:r>
    </w:p>
    <w:p>
      <w:pPr>
        <w:pStyle w:val="ListBullet"/>
        <w:spacing w:line="360" w:lineRule="auto" w:after="100"/>
      </w:pPr>
      <w:r>
        <w:rPr>
          <w:rFonts w:ascii="宋体" w:hAnsi="宋体" w:eastAsia="宋体"/>
          <w:sz w:val="24"/>
        </w:rPr>
        <w:t>建议改写：“原告提交的旧版《房屋所有权证》及（2023）湘8601行初1133号生效行政判决，可以共同用于证明原告对涉案房屋享有所有权。”</w:t>
      </w:r>
    </w:p>
    <w:p>
      <w:pPr>
        <w:pStyle w:val="ListBullet"/>
        <w:spacing w:line="360" w:lineRule="auto" w:after="100"/>
      </w:pPr>
      <w:r>
        <w:rPr>
          <w:rFonts w:ascii="宋体" w:hAnsi="宋体" w:eastAsia="宋体"/>
          <w:sz w:val="24"/>
        </w:rPr>
        <w:t>原句：“原告将补充最新不动产登记簿、真实权证完整页及门牌对应证明……”</w:t>
      </w:r>
    </w:p>
    <w:p>
      <w:pPr>
        <w:pStyle w:val="ListBullet"/>
        <w:spacing w:line="360" w:lineRule="auto" w:after="100"/>
      </w:pPr>
      <w:r>
        <w:rPr>
          <w:rFonts w:ascii="宋体" w:hAnsi="宋体" w:eastAsia="宋体"/>
          <w:sz w:val="24"/>
        </w:rPr>
        <w:t>建议改写：“原告将补充最新不动产登记簿、权证完整页及门牌沿革、地址对应材料……”</w:t>
      </w:r>
    </w:p>
    <w:p>
      <w:pPr>
        <w:pStyle w:val="Heading2"/>
      </w:pPr>
      <w:r>
        <w:t>9. “上述要件”所指不明</w:t>
      </w:r>
    </w:p>
    <w:p>
      <w:pPr>
        <w:pStyle w:val="ListBullet"/>
        <w:spacing w:line="360" w:lineRule="auto" w:after="100"/>
      </w:pPr>
      <w:r>
        <w:rPr>
          <w:rFonts w:ascii="宋体" w:hAnsi="宋体" w:eastAsia="宋体"/>
          <w:sz w:val="24"/>
        </w:rPr>
        <w:t>位置：第28行末句。</w:t>
      </w:r>
    </w:p>
    <w:p>
      <w:pPr>
        <w:pStyle w:val="ListBullet"/>
        <w:spacing w:line="360" w:lineRule="auto" w:after="100"/>
      </w:pPr>
      <w:r>
        <w:rPr>
          <w:rFonts w:ascii="宋体" w:hAnsi="宋体" w:eastAsia="宋体"/>
          <w:sz w:val="24"/>
        </w:rPr>
        <w:t>原句：“安全目的本身不能代替上述要件。”</w:t>
      </w:r>
    </w:p>
    <w:p>
      <w:pPr>
        <w:pStyle w:val="ListBullet"/>
        <w:spacing w:line="360" w:lineRule="auto" w:after="100"/>
      </w:pPr>
      <w:r>
        <w:rPr>
          <w:rFonts w:ascii="宋体" w:hAnsi="宋体" w:eastAsia="宋体"/>
          <w:sz w:val="24"/>
        </w:rPr>
        <w:t>问题：前句列举的既有权限来源，也有必要性、方案、通知及修复安排，并非同一法律规范下的统一“要件”。</w:t>
      </w:r>
    </w:p>
    <w:p>
      <w:pPr>
        <w:pStyle w:val="ListBullet"/>
        <w:spacing w:line="360" w:lineRule="auto" w:after="100"/>
      </w:pPr>
      <w:r>
        <w:rPr>
          <w:rFonts w:ascii="宋体" w:hAnsi="宋体" w:eastAsia="宋体"/>
          <w:sz w:val="24"/>
        </w:rPr>
        <w:t>建议改写：“以房屋安全为目的，并不免除对行为权限、必要性、实施程序及损坏修复安排的分别审查。”</w:t>
      </w:r>
    </w:p>
    <w:p>
      <w:pPr>
        <w:pStyle w:val="Heading2"/>
      </w:pPr>
      <w:r>
        <w:t>10. “与其相关的现场人员”法律关系不明确</w:t>
      </w:r>
    </w:p>
    <w:p>
      <w:pPr>
        <w:pStyle w:val="ListBullet"/>
        <w:spacing w:line="360" w:lineRule="auto" w:after="100"/>
      </w:pPr>
      <w:r>
        <w:rPr>
          <w:rFonts w:ascii="宋体" w:hAnsi="宋体" w:eastAsia="宋体"/>
          <w:sz w:val="24"/>
        </w:rPr>
        <w:t>位置：第32行。</w:t>
      </w:r>
    </w:p>
    <w:p>
      <w:pPr>
        <w:pStyle w:val="ListBullet"/>
        <w:spacing w:line="360" w:lineRule="auto" w:after="100"/>
      </w:pPr>
      <w:r>
        <w:rPr>
          <w:rFonts w:ascii="宋体" w:hAnsi="宋体" w:eastAsia="宋体"/>
          <w:sz w:val="24"/>
        </w:rPr>
        <w:t>原句：“原告现主张科棚及与其相关的现场人员参与……”</w:t>
      </w:r>
    </w:p>
    <w:p>
      <w:pPr>
        <w:pStyle w:val="ListBullet"/>
        <w:spacing w:line="360" w:lineRule="auto" w:after="100"/>
      </w:pPr>
      <w:r>
        <w:rPr>
          <w:rFonts w:ascii="宋体" w:hAnsi="宋体" w:eastAsia="宋体"/>
          <w:sz w:val="24"/>
        </w:rPr>
        <w:t>问题：“相关”无法表明行为人与科棚之间究竟是劳动、委托、项目协作还是其他关系。</w:t>
      </w:r>
    </w:p>
    <w:p>
      <w:pPr>
        <w:pStyle w:val="ListBullet"/>
        <w:spacing w:line="360" w:lineRule="auto" w:after="100"/>
      </w:pPr>
      <w:r>
        <w:rPr>
          <w:rFonts w:ascii="宋体" w:hAnsi="宋体" w:eastAsia="宋体"/>
          <w:sz w:val="24"/>
        </w:rPr>
        <w:t>建议改写：“原告主张科棚直接参与，或者有关现场人员系以科棚名义、受科棚指示或在执行科棚工作任务过程中，参与2026年4月涉案房屋鉴定、入户及侵入性检测；行为人与科棚之间的具体法律关系尚待查明。”</w:t>
      </w:r>
    </w:p>
    <w:p>
      <w:pPr>
        <w:pStyle w:val="Heading2"/>
      </w:pPr>
      <w:r>
        <w:t>11. “就该被主张的直接行为”语序生硬</w:t>
      </w:r>
    </w:p>
    <w:p>
      <w:pPr>
        <w:pStyle w:val="ListBullet"/>
        <w:spacing w:line="360" w:lineRule="auto" w:after="100"/>
      </w:pPr>
      <w:r>
        <w:rPr>
          <w:rFonts w:ascii="宋体" w:hAnsi="宋体" w:eastAsia="宋体"/>
          <w:sz w:val="24"/>
        </w:rPr>
        <w:t>位置：第32行末句。</w:t>
      </w:r>
    </w:p>
    <w:p>
      <w:pPr>
        <w:pStyle w:val="ListBullet"/>
        <w:spacing w:line="360" w:lineRule="auto" w:after="100"/>
      </w:pPr>
      <w:r>
        <w:rPr>
          <w:rFonts w:ascii="宋体" w:hAnsi="宋体" w:eastAsia="宋体"/>
          <w:sz w:val="24"/>
        </w:rPr>
        <w:t>原句：“就该被主张的直接行为及其法律后果而言……”</w:t>
      </w:r>
    </w:p>
    <w:p>
      <w:pPr>
        <w:pStyle w:val="ListBullet"/>
        <w:spacing w:line="360" w:lineRule="auto" w:after="100"/>
      </w:pPr>
      <w:r>
        <w:rPr>
          <w:rFonts w:ascii="宋体" w:hAnsi="宋体" w:eastAsia="宋体"/>
          <w:sz w:val="24"/>
        </w:rPr>
        <w:t>建议改写：“就原告所主张的上述直接行为及其法律后果而言，科棚与本案诉争法律关系具有直接关联，原告将科棚列为被告具有相应事实及法律依据。”</w:t>
      </w:r>
    </w:p>
    <w:p>
      <w:pPr>
        <w:pStyle w:val="Heading2"/>
      </w:pPr>
      <w:r>
        <w:t>12. “报警事实”超出回执的精确含义</w:t>
      </w:r>
    </w:p>
    <w:p>
      <w:pPr>
        <w:pStyle w:val="ListBullet"/>
        <w:spacing w:line="360" w:lineRule="auto" w:after="100"/>
      </w:pPr>
      <w:r>
        <w:rPr>
          <w:rFonts w:ascii="宋体" w:hAnsi="宋体" w:eastAsia="宋体"/>
          <w:sz w:val="24"/>
        </w:rPr>
        <w:t>位置：第34行。</w:t>
      </w:r>
    </w:p>
    <w:p>
      <w:pPr>
        <w:pStyle w:val="ListBullet"/>
        <w:spacing w:line="360" w:lineRule="auto" w:after="100"/>
      </w:pPr>
      <w:r>
        <w:rPr>
          <w:rFonts w:ascii="宋体" w:hAnsi="宋体" w:eastAsia="宋体"/>
          <w:sz w:val="24"/>
        </w:rPr>
        <w:t>原句：“原告当前能够提交的材料包括：报警事实……”</w:t>
      </w:r>
    </w:p>
    <w:p>
      <w:pPr>
        <w:pStyle w:val="ListBullet"/>
        <w:spacing w:line="360" w:lineRule="auto" w:after="100"/>
      </w:pPr>
      <w:r>
        <w:rPr>
          <w:rFonts w:ascii="宋体" w:hAnsi="宋体" w:eastAsia="宋体"/>
          <w:sz w:val="24"/>
        </w:rPr>
        <w:t>问题：现有材料是《报警回执单》，能够证明的首先是报警登记，不宜概括为“报警事实”。</w:t>
      </w:r>
    </w:p>
    <w:p>
      <w:pPr>
        <w:pStyle w:val="ListBullet"/>
        <w:spacing w:line="360" w:lineRule="auto" w:after="100"/>
      </w:pPr>
      <w:r>
        <w:rPr>
          <w:rFonts w:ascii="宋体" w:hAnsi="宋体" w:eastAsia="宋体"/>
          <w:sz w:val="24"/>
        </w:rPr>
        <w:t>建议改写：“原告当前能够提交的材料包括《报警回执单》、墙体孔洞和剔凿外观照片、科棚主体登记材料……”</w:t>
      </w:r>
    </w:p>
    <w:p>
      <w:pPr>
        <w:pStyle w:val="Heading2"/>
      </w:pPr>
      <w:r>
        <w:t>13. “项目材料”“需补强”是工作底稿语言</w:t>
      </w:r>
    </w:p>
    <w:p>
      <w:pPr>
        <w:pStyle w:val="ListBullet"/>
        <w:spacing w:line="360" w:lineRule="auto" w:after="100"/>
      </w:pPr>
      <w:r>
        <w:rPr>
          <w:rFonts w:ascii="宋体" w:hAnsi="宋体" w:eastAsia="宋体"/>
          <w:sz w:val="24"/>
        </w:rPr>
        <w:t>位置：第40行。</w:t>
      </w:r>
    </w:p>
    <w:p>
      <w:pPr>
        <w:pStyle w:val="ListBullet"/>
        <w:spacing w:line="360" w:lineRule="auto" w:after="100"/>
      </w:pPr>
      <w:r>
        <w:rPr>
          <w:rFonts w:ascii="宋体" w:hAnsi="宋体" w:eastAsia="宋体"/>
          <w:sz w:val="24"/>
        </w:rPr>
        <w:t>原句：“现有项目材料尚缺……该事实仍需补强。”</w:t>
      </w:r>
    </w:p>
    <w:p>
      <w:pPr>
        <w:pStyle w:val="ListBullet"/>
        <w:spacing w:line="360" w:lineRule="auto" w:after="100"/>
      </w:pPr>
      <w:r>
        <w:rPr>
          <w:rFonts w:ascii="宋体" w:hAnsi="宋体" w:eastAsia="宋体"/>
          <w:sz w:val="24"/>
        </w:rPr>
        <w:t>问题：“项目材料”不是法院文书通常称谓；“补强”宜明确由何证据核实。</w:t>
      </w:r>
    </w:p>
    <w:p>
      <w:pPr>
        <w:pStyle w:val="ListBullet"/>
        <w:spacing w:line="360" w:lineRule="auto" w:after="100"/>
      </w:pPr>
      <w:r>
        <w:rPr>
          <w:rFonts w:ascii="宋体" w:hAnsi="宋体" w:eastAsia="宋体"/>
          <w:sz w:val="24"/>
        </w:rPr>
        <w:t>建议改写：“原告现掌握的案涉材料中尚无清运通知、工作群记录、派工记录、费用凭证、清运前后影像及实施单位说明，该事实尚需由原始电子数据、实施单位说明等证据进一步核实。”</w:t>
      </w:r>
    </w:p>
    <w:p>
      <w:pPr>
        <w:pStyle w:val="Heading2"/>
      </w:pPr>
      <w:r>
        <w:t>14. “它可以证明”表述过满且代词不够正式</w:t>
      </w:r>
    </w:p>
    <w:p>
      <w:pPr>
        <w:pStyle w:val="ListBullet"/>
        <w:spacing w:line="360" w:lineRule="auto" w:after="100"/>
      </w:pPr>
      <w:r>
        <w:rPr>
          <w:rFonts w:ascii="宋体" w:hAnsi="宋体" w:eastAsia="宋体"/>
          <w:sz w:val="24"/>
        </w:rPr>
        <w:t>位置：第40行末句。</w:t>
      </w:r>
    </w:p>
    <w:p>
      <w:pPr>
        <w:pStyle w:val="ListBullet"/>
        <w:spacing w:line="360" w:lineRule="auto" w:after="100"/>
      </w:pPr>
      <w:r>
        <w:rPr>
          <w:rFonts w:ascii="宋体" w:hAnsi="宋体" w:eastAsia="宋体"/>
          <w:sz w:val="24"/>
        </w:rPr>
        <w:t>原句：“若经证据核实，它可以证明科棚实际介入楼栋现实事务并具有一定协调处置能力……”</w:t>
      </w:r>
    </w:p>
    <w:p>
      <w:pPr>
        <w:pStyle w:val="ListBullet"/>
        <w:spacing w:line="360" w:lineRule="auto" w:after="100"/>
      </w:pPr>
      <w:r>
        <w:rPr>
          <w:rFonts w:ascii="宋体" w:hAnsi="宋体" w:eastAsia="宋体"/>
          <w:sz w:val="24"/>
        </w:rPr>
        <w:t>建议改写：“如前述事实经证据核实，可作为认定科棚实际介入涉案楼栋事务并具有一定协调处置能力的相关证据，但不足以据此单独认定……”</w:t>
      </w:r>
    </w:p>
    <w:p>
      <w:pPr>
        <w:pStyle w:val="Heading2"/>
      </w:pPr>
      <w:r>
        <w:t>15. 不宜用双重否定论证主体适格</w:t>
      </w:r>
    </w:p>
    <w:p>
      <w:pPr>
        <w:pStyle w:val="ListBullet"/>
        <w:spacing w:line="360" w:lineRule="auto" w:after="100"/>
      </w:pPr>
      <w:r>
        <w:rPr>
          <w:rFonts w:ascii="宋体" w:hAnsi="宋体" w:eastAsia="宋体"/>
          <w:sz w:val="24"/>
        </w:rPr>
        <w:t>位置：第42行。</w:t>
      </w:r>
    </w:p>
    <w:p>
      <w:pPr>
        <w:pStyle w:val="ListBullet"/>
        <w:spacing w:line="360" w:lineRule="auto" w:after="100"/>
      </w:pPr>
      <w:r>
        <w:rPr>
          <w:rFonts w:ascii="宋体" w:hAnsi="宋体" w:eastAsia="宋体"/>
          <w:sz w:val="24"/>
        </w:rPr>
        <w:t>原句：“上述证据和待核线索至少说明，科棚并非与诉争事实毫无关联的案外主体。”</w:t>
      </w:r>
    </w:p>
    <w:p>
      <w:pPr>
        <w:pStyle w:val="ListBullet"/>
        <w:spacing w:line="360" w:lineRule="auto" w:after="100"/>
      </w:pPr>
      <w:r>
        <w:rPr>
          <w:rFonts w:ascii="宋体" w:hAnsi="宋体" w:eastAsia="宋体"/>
          <w:sz w:val="24"/>
        </w:rPr>
        <w:t>问题：虽比“不是错误被告”规范，但仍是消极、口语式防御表达；“待核线索”亦属内部工作用语。</w:t>
      </w:r>
    </w:p>
    <w:p>
      <w:pPr>
        <w:pStyle w:val="ListBullet"/>
        <w:spacing w:line="360" w:lineRule="auto" w:after="100"/>
      </w:pPr>
      <w:r>
        <w:rPr>
          <w:rFonts w:ascii="宋体" w:hAnsi="宋体" w:eastAsia="宋体"/>
          <w:sz w:val="24"/>
        </w:rPr>
        <w:t>建议改写：“结合现有证据及有待核实的事实线索，科棚与原告所主张的涉案现场行为及后续楼栋事务存在直接事实关联，具有本案被告主体适格性。”</w:t>
      </w:r>
    </w:p>
    <w:p>
      <w:pPr>
        <w:pStyle w:val="Heading2"/>
      </w:pPr>
      <w:r>
        <w:t>16. “再委托、转授权”存在概念混用</w:t>
      </w:r>
    </w:p>
    <w:p>
      <w:pPr>
        <w:pStyle w:val="ListBullet"/>
        <w:spacing w:line="360" w:lineRule="auto" w:after="100"/>
      </w:pPr>
      <w:r>
        <w:rPr>
          <w:rFonts w:ascii="宋体" w:hAnsi="宋体" w:eastAsia="宋体"/>
          <w:sz w:val="24"/>
        </w:rPr>
        <w:t>位置：第55行。</w:t>
      </w:r>
    </w:p>
    <w:p>
      <w:pPr>
        <w:pStyle w:val="ListBullet"/>
        <w:spacing w:line="360" w:lineRule="auto" w:after="100"/>
      </w:pPr>
      <w:r>
        <w:rPr>
          <w:rFonts w:ascii="宋体" w:hAnsi="宋体" w:eastAsia="宋体"/>
          <w:sz w:val="24"/>
        </w:rPr>
        <w:t>原句：“是否存在再委托、转授权，及其是否取得必要同意或追认。”</w:t>
      </w:r>
    </w:p>
    <w:p>
      <w:pPr>
        <w:pStyle w:val="ListBullet"/>
        <w:spacing w:line="360" w:lineRule="auto" w:after="100"/>
      </w:pPr>
      <w:r>
        <w:rPr>
          <w:rFonts w:ascii="宋体" w:hAnsi="宋体" w:eastAsia="宋体"/>
          <w:sz w:val="24"/>
        </w:rPr>
        <w:t>问题：《民法典》第一百六十九条规范的是复代理意义上的转委托；“转授权”并非当然与“转委托”同义。若同时审查授权链，应分别说明。</w:t>
      </w:r>
    </w:p>
    <w:p>
      <w:pPr>
        <w:pStyle w:val="ListBullet"/>
        <w:spacing w:line="360" w:lineRule="auto" w:after="100"/>
      </w:pPr>
      <w:r>
        <w:rPr>
          <w:rFonts w:ascii="宋体" w:hAnsi="宋体" w:eastAsia="宋体"/>
          <w:sz w:val="24"/>
        </w:rPr>
        <w:t>建议改写：“如科棚系受托实施有关事务，是否另行选任第三人处理相关事项，构成何种转委托关系，以及该转委托是否取得委托人同意或者追认；如主张存在其他授权传递关系，还应分别提交其权源及范围证据。”</w:t>
      </w:r>
    </w:p>
    <w:p>
      <w:pPr>
        <w:pStyle w:val="Heading2"/>
      </w:pPr>
      <w:r>
        <w:t>17. 举证责任表述应指向具体抗辩事实，并保留法院依法分配空间</w:t>
      </w:r>
    </w:p>
    <w:p>
      <w:pPr>
        <w:pStyle w:val="ListBullet"/>
        <w:spacing w:line="360" w:lineRule="auto" w:after="100"/>
      </w:pPr>
      <w:r>
        <w:rPr>
          <w:rFonts w:ascii="宋体" w:hAnsi="宋体" w:eastAsia="宋体"/>
          <w:sz w:val="24"/>
        </w:rPr>
        <w:t>位置：第57行。</w:t>
      </w:r>
    </w:p>
    <w:p>
      <w:pPr>
        <w:pStyle w:val="ListBullet"/>
        <w:spacing w:line="360" w:lineRule="auto" w:after="100"/>
      </w:pPr>
      <w:r>
        <w:rPr>
          <w:rFonts w:ascii="宋体" w:hAnsi="宋体" w:eastAsia="宋体"/>
          <w:sz w:val="24"/>
        </w:rPr>
        <w:t>原句：“被告若以此抗辩其现场行为具有合法依据，应对该积极事实提交证据。”</w:t>
      </w:r>
    </w:p>
    <w:p>
      <w:pPr>
        <w:pStyle w:val="ListBullet"/>
        <w:spacing w:line="360" w:lineRule="auto" w:after="100"/>
      </w:pPr>
      <w:r>
        <w:rPr>
          <w:rFonts w:ascii="宋体" w:hAnsi="宋体" w:eastAsia="宋体"/>
          <w:sz w:val="24"/>
        </w:rPr>
        <w:t>问题：“积极事实”较抽象，且容易被理解为对全部权限争议一概倒置举证责任。</w:t>
      </w:r>
    </w:p>
    <w:p>
      <w:pPr>
        <w:pStyle w:val="ListBullet"/>
        <w:spacing w:line="360" w:lineRule="auto" w:after="100"/>
      </w:pPr>
      <w:r>
        <w:rPr>
          <w:rFonts w:ascii="宋体" w:hAnsi="宋体" w:eastAsia="宋体"/>
          <w:sz w:val="24"/>
        </w:rPr>
        <w:t>建议改写：“被告如以委托、授权或者其他权限来源主张其现场行为具有正当依据，应当就该抗辩所依据的权限发生事实、权限范围及有效期间提交相应证据；具体举证责任仍应根据各项请求权基础、抗辩性质和证据控制情况依法确定。”</w:t>
      </w:r>
    </w:p>
    <w:p>
      <w:pPr>
        <w:pStyle w:val="Heading2"/>
      </w:pPr>
      <w:r>
        <w:t>18. “责令持有人提出”宜改为规范的书证提出用语</w:t>
      </w:r>
    </w:p>
    <w:p>
      <w:pPr>
        <w:pStyle w:val="ListBullet"/>
        <w:spacing w:line="360" w:lineRule="auto" w:after="100"/>
      </w:pPr>
      <w:r>
        <w:rPr>
          <w:rFonts w:ascii="宋体" w:hAnsi="宋体" w:eastAsia="宋体"/>
          <w:sz w:val="24"/>
        </w:rPr>
        <w:t>位置：第57行末句。</w:t>
      </w:r>
    </w:p>
    <w:p>
      <w:pPr>
        <w:pStyle w:val="ListBullet"/>
        <w:spacing w:line="360" w:lineRule="auto" w:after="100"/>
      </w:pPr>
      <w:r>
        <w:rPr>
          <w:rFonts w:ascii="宋体" w:hAnsi="宋体" w:eastAsia="宋体"/>
          <w:sz w:val="24"/>
        </w:rPr>
        <w:t>原句：“原告不能自行取得的，请人民法院依法调查收集或责令持有人提出。”</w:t>
      </w:r>
    </w:p>
    <w:p>
      <w:pPr>
        <w:pStyle w:val="ListBullet"/>
        <w:spacing w:line="360" w:lineRule="auto" w:after="100"/>
      </w:pPr>
      <w:r>
        <w:rPr>
          <w:rFonts w:ascii="宋体" w:hAnsi="宋体" w:eastAsia="宋体"/>
          <w:sz w:val="24"/>
        </w:rPr>
        <w:t>建议改写：“对原告因客观原因不能自行取得且符合调查收集条件的证据，请人民法院依法调查收集；对由对方当事人控制的相关书证，原告另行申请人民法院责令其提交。”</w:t>
      </w:r>
    </w:p>
    <w:p>
      <w:pPr>
        <w:pStyle w:val="Heading2"/>
      </w:pPr>
      <w:r>
        <w:t>19. “该论证并非……”属于写作过程说明</w:t>
      </w:r>
    </w:p>
    <w:p>
      <w:pPr>
        <w:pStyle w:val="ListBullet"/>
        <w:spacing w:line="360" w:lineRule="auto" w:after="100"/>
      </w:pPr>
      <w:r>
        <w:rPr>
          <w:rFonts w:ascii="宋体" w:hAnsi="宋体" w:eastAsia="宋体"/>
          <w:sz w:val="24"/>
        </w:rPr>
        <w:t>位置：第59行。</w:t>
      </w:r>
    </w:p>
    <w:p>
      <w:pPr>
        <w:pStyle w:val="ListBullet"/>
        <w:spacing w:line="360" w:lineRule="auto" w:after="100"/>
      </w:pPr>
      <w:r>
        <w:rPr>
          <w:rFonts w:ascii="宋体" w:hAnsi="宋体" w:eastAsia="宋体"/>
          <w:sz w:val="24"/>
        </w:rPr>
        <w:t>原句：“该论证并非‘有鉴定权限即承担全部治理责任’。”</w:t>
      </w:r>
    </w:p>
    <w:p>
      <w:pPr>
        <w:pStyle w:val="ListBullet"/>
        <w:spacing w:line="360" w:lineRule="auto" w:after="100"/>
      </w:pPr>
      <w:r>
        <w:rPr>
          <w:rFonts w:ascii="宋体" w:hAnsi="宋体" w:eastAsia="宋体"/>
          <w:sz w:val="24"/>
        </w:rPr>
        <w:t>问题：法院文书宜直接陈述概念边界，无须描述作者的论证意图。</w:t>
      </w:r>
    </w:p>
    <w:p>
      <w:pPr>
        <w:pStyle w:val="ListBullet"/>
        <w:spacing w:line="360" w:lineRule="auto" w:after="100"/>
      </w:pPr>
      <w:r>
        <w:rPr>
          <w:rFonts w:ascii="宋体" w:hAnsi="宋体" w:eastAsia="宋体"/>
          <w:sz w:val="24"/>
        </w:rPr>
        <w:t>建议改写：“前述权限审查不意味着专项鉴定权限当然产生整栋楼长期管理职责或者全部治理责任。”</w:t>
      </w:r>
    </w:p>
    <w:p>
      <w:pPr>
        <w:pStyle w:val="Heading2"/>
      </w:pPr>
      <w:r>
        <w:t>20. 第五节标题存在范围扩大和口语化“自动转化”</w:t>
      </w:r>
    </w:p>
    <w:p>
      <w:pPr>
        <w:pStyle w:val="ListBullet"/>
        <w:spacing w:line="360" w:lineRule="auto" w:after="100"/>
      </w:pPr>
      <w:r>
        <w:rPr>
          <w:rFonts w:ascii="宋体" w:hAnsi="宋体" w:eastAsia="宋体"/>
          <w:sz w:val="24"/>
        </w:rPr>
        <w:t>位置：第61行标题。</w:t>
      </w:r>
    </w:p>
    <w:p>
      <w:pPr>
        <w:pStyle w:val="ListBullet"/>
        <w:spacing w:line="360" w:lineRule="auto" w:after="100"/>
      </w:pPr>
      <w:r>
        <w:rPr>
          <w:rFonts w:ascii="宋体" w:hAnsi="宋体" w:eastAsia="宋体"/>
          <w:sz w:val="24"/>
        </w:rPr>
        <w:t>原句：“开福棚改投的管理、改造依据已经生效裁判确认，但不能通过关联关系自动转化为科棚权限。”</w:t>
      </w:r>
    </w:p>
    <w:p>
      <w:pPr>
        <w:pStyle w:val="ListBullet"/>
        <w:spacing w:line="360" w:lineRule="auto" w:after="100"/>
      </w:pPr>
      <w:r>
        <w:rPr>
          <w:rFonts w:ascii="宋体" w:hAnsi="宋体" w:eastAsia="宋体"/>
          <w:sz w:val="24"/>
        </w:rPr>
        <w:t>问题：“已经确认”可能超出裁判原文的具体认定范围；“自动转化”偏说明性口语。</w:t>
      </w:r>
    </w:p>
    <w:p>
      <w:pPr>
        <w:pStyle w:val="ListBullet"/>
        <w:spacing w:line="360" w:lineRule="auto" w:after="100"/>
      </w:pPr>
      <w:r>
        <w:rPr>
          <w:rFonts w:ascii="宋体" w:hAnsi="宋体" w:eastAsia="宋体"/>
          <w:sz w:val="24"/>
        </w:rPr>
        <w:t>建议改写：“生效行政裁判记载的开福棚改投管理、改造依据，不当然构成科棚参与涉案行为的授权依据。”</w:t>
      </w:r>
    </w:p>
    <w:p>
      <w:pPr>
        <w:pStyle w:val="Heading2"/>
      </w:pPr>
      <w:r>
        <w:t>21. “特定地位”含义不确定，口号式排比宜改为规范论证</w:t>
      </w:r>
    </w:p>
    <w:p>
      <w:pPr>
        <w:pStyle w:val="ListBullet"/>
        <w:spacing w:line="360" w:lineRule="auto" w:after="100"/>
      </w:pPr>
      <w:r>
        <w:rPr>
          <w:rFonts w:ascii="宋体" w:hAnsi="宋体" w:eastAsia="宋体"/>
          <w:sz w:val="24"/>
        </w:rPr>
        <w:t>位置：第65行。</w:t>
      </w:r>
    </w:p>
    <w:p>
      <w:pPr>
        <w:pStyle w:val="ListBullet"/>
        <w:spacing w:line="360" w:lineRule="auto" w:after="100"/>
      </w:pPr>
      <w:r>
        <w:rPr>
          <w:rFonts w:ascii="宋体" w:hAnsi="宋体" w:eastAsia="宋体"/>
          <w:sz w:val="24"/>
        </w:rPr>
        <w:t>原句：“上述裁判能够证明开福棚改投在涉案楼栋历史管理、改造中的特定地位……股权关系不等于委托，项目合作不等于进入专有部分的授权，管理职责也不等于任何侵入性操作均合法。”</w:t>
      </w:r>
    </w:p>
    <w:p>
      <w:pPr>
        <w:pStyle w:val="ListBullet"/>
        <w:spacing w:line="360" w:lineRule="auto" w:after="100"/>
      </w:pPr>
      <w:r>
        <w:rPr>
          <w:rFonts w:ascii="宋体" w:hAnsi="宋体" w:eastAsia="宋体"/>
          <w:sz w:val="24"/>
        </w:rPr>
        <w:t>问题：“特定地位”未说明权利义务内容；后半句虽方向准确，但可改成更完整的法律判断。</w:t>
      </w:r>
    </w:p>
    <w:p>
      <w:pPr>
        <w:pStyle w:val="ListBullet"/>
        <w:spacing w:line="360" w:lineRule="auto" w:after="100"/>
      </w:pPr>
      <w:r>
        <w:rPr>
          <w:rFonts w:ascii="宋体" w:hAnsi="宋体" w:eastAsia="宋体"/>
          <w:sz w:val="24"/>
        </w:rPr>
        <w:t>建议改写：“上述裁判可用于说明有关批复曾作为开福棚改投对涉案楼栋进行管理、改造的依据，但其具体职责范围及存续状态仍应结合裁判原文和后续文件审查。开福棚改投与科棚之间即使存在股权、出资或者项目合作关系，也不能据此替代对委托关系、授权事项和权限范围的具体证明；开福棚改投具有相应管理职责，亦不当然表明科棚实施的具体侵入性操作具有合法依据。”</w:t>
      </w:r>
    </w:p>
    <w:p>
      <w:pPr>
        <w:pStyle w:val="Heading2"/>
      </w:pPr>
      <w:r>
        <w:t>22. “若不存在委托，则其现场行为不能取得该项权源”过于绝对</w:t>
      </w:r>
    </w:p>
    <w:p>
      <w:pPr>
        <w:pStyle w:val="ListBullet"/>
        <w:spacing w:line="360" w:lineRule="auto" w:after="100"/>
      </w:pPr>
      <w:r>
        <w:rPr>
          <w:rFonts w:ascii="宋体" w:hAnsi="宋体" w:eastAsia="宋体"/>
          <w:sz w:val="24"/>
        </w:rPr>
        <w:t>位置：第67行。</w:t>
      </w:r>
    </w:p>
    <w:p>
      <w:pPr>
        <w:pStyle w:val="ListBullet"/>
        <w:spacing w:line="360" w:lineRule="auto" w:after="100"/>
      </w:pPr>
      <w:r>
        <w:rPr>
          <w:rFonts w:ascii="宋体" w:hAnsi="宋体" w:eastAsia="宋体"/>
          <w:sz w:val="24"/>
        </w:rPr>
        <w:t>原句：“若不存在委托，则其现场行为不能取得该项权源……”</w:t>
      </w:r>
    </w:p>
    <w:p>
      <w:pPr>
        <w:pStyle w:val="ListBullet"/>
        <w:spacing w:line="360" w:lineRule="auto" w:after="100"/>
      </w:pPr>
      <w:r>
        <w:rPr>
          <w:rFonts w:ascii="宋体" w:hAnsi="宋体" w:eastAsia="宋体"/>
          <w:sz w:val="24"/>
        </w:rPr>
        <w:t>问题：即使不存在开福棚改投委托，理论上仍可能存在其他权限来源。原句把一种权源缺失写成全部权源缺失。</w:t>
      </w:r>
    </w:p>
    <w:p>
      <w:pPr>
        <w:pStyle w:val="ListBullet"/>
        <w:spacing w:line="360" w:lineRule="auto" w:after="100"/>
      </w:pPr>
      <w:r>
        <w:rPr>
          <w:rFonts w:ascii="宋体" w:hAnsi="宋体" w:eastAsia="宋体"/>
          <w:sz w:val="24"/>
        </w:rPr>
        <w:t>建议改写：“如科棚不能证明其所主张的开福棚改投委托，则不得据该委托主张其现场行为具有正当依据；科棚如主张另有权限来源，仍应就该权限的发生、范围和有效期间提交相应证据。”</w:t>
      </w:r>
    </w:p>
    <w:p>
      <w:pPr>
        <w:pStyle w:val="Heading2"/>
      </w:pPr>
      <w:r>
        <w:t>23. “委托人的适格性”混用了诉讼主体术语</w:t>
      </w:r>
    </w:p>
    <w:p>
      <w:pPr>
        <w:pStyle w:val="ListBullet"/>
        <w:spacing w:line="360" w:lineRule="auto" w:after="100"/>
      </w:pPr>
      <w:r>
        <w:rPr>
          <w:rFonts w:ascii="宋体" w:hAnsi="宋体" w:eastAsia="宋体"/>
          <w:sz w:val="24"/>
        </w:rPr>
        <w:t>位置：第71行。</w:t>
      </w:r>
    </w:p>
    <w:p>
      <w:pPr>
        <w:pStyle w:val="ListBullet"/>
        <w:spacing w:line="360" w:lineRule="auto" w:after="100"/>
      </w:pPr>
      <w:r>
        <w:rPr>
          <w:rFonts w:ascii="宋体" w:hAnsi="宋体" w:eastAsia="宋体"/>
          <w:sz w:val="24"/>
        </w:rPr>
        <w:t>原句：“鉴定目的的正当性、委托人的适格性，并不能当然推出任何现场方式均属必要。”</w:t>
      </w:r>
    </w:p>
    <w:p>
      <w:pPr>
        <w:pStyle w:val="ListBullet"/>
        <w:spacing w:line="360" w:lineRule="auto" w:after="100"/>
      </w:pPr>
      <w:r>
        <w:rPr>
          <w:rFonts w:ascii="宋体" w:hAnsi="宋体" w:eastAsia="宋体"/>
          <w:sz w:val="24"/>
        </w:rPr>
        <w:t>问题：“主体适格”在本文主要用于当事人诉讼地位；此处应表达委托人是否具有委托权限或资格，避免与被告主体适格混同。</w:t>
      </w:r>
    </w:p>
    <w:p>
      <w:pPr>
        <w:pStyle w:val="ListBullet"/>
        <w:spacing w:line="360" w:lineRule="auto" w:after="100"/>
      </w:pPr>
      <w:r>
        <w:rPr>
          <w:rFonts w:ascii="宋体" w:hAnsi="宋体" w:eastAsia="宋体"/>
          <w:sz w:val="24"/>
        </w:rPr>
        <w:t>建议改写：“鉴定目的具有正当性、委托主体具有相应委托权限，均不当然意味着所采取的每一项现场检测方式均具有必要性和相当性。”</w:t>
      </w:r>
    </w:p>
    <w:p>
      <w:pPr>
        <w:pStyle w:val="Heading2"/>
      </w:pPr>
      <w:r>
        <w:t>24. “正当化对专有物的物理改变”“先后在场”不够精确</w:t>
      </w:r>
    </w:p>
    <w:p>
      <w:pPr>
        <w:pStyle w:val="ListBullet"/>
        <w:spacing w:line="360" w:lineRule="auto" w:after="100"/>
      </w:pPr>
      <w:r>
        <w:rPr>
          <w:rFonts w:ascii="宋体" w:hAnsi="宋体" w:eastAsia="宋体"/>
          <w:sz w:val="24"/>
        </w:rPr>
        <w:t>位置：第73行。</w:t>
      </w:r>
    </w:p>
    <w:p>
      <w:pPr>
        <w:pStyle w:val="ListBullet"/>
        <w:spacing w:line="360" w:lineRule="auto" w:after="100"/>
      </w:pPr>
      <w:r>
        <w:rPr>
          <w:rFonts w:ascii="宋体" w:hAnsi="宋体" w:eastAsia="宋体"/>
          <w:sz w:val="24"/>
        </w:rPr>
        <w:t>原句：“仍不足以正当化对专有物的物理改变……不能以先后在场即推定共同责任。”</w:t>
      </w:r>
    </w:p>
    <w:p>
      <w:pPr>
        <w:pStyle w:val="ListBullet"/>
        <w:spacing w:line="360" w:lineRule="auto" w:after="100"/>
      </w:pPr>
      <w:r>
        <w:rPr>
          <w:rFonts w:ascii="宋体" w:hAnsi="宋体" w:eastAsia="宋体"/>
          <w:sz w:val="24"/>
        </w:rPr>
        <w:t>建议改写：“仍不足以证明改变原告专有部分物理状态的具体操作具有合法依据。……不得仅因有关主体或者人员在现场出现，即认定其共同实施侵权行为或者承担共同责任。”</w:t>
      </w:r>
    </w:p>
    <w:p>
      <w:pPr>
        <w:pStyle w:val="Heading2"/>
      </w:pPr>
      <w:r>
        <w:t>25. 科棚与其工作人员的行为表达存在主谓关系混乱</w:t>
      </w:r>
    </w:p>
    <w:p>
      <w:pPr>
        <w:pStyle w:val="ListBullet"/>
        <w:spacing w:line="360" w:lineRule="auto" w:after="100"/>
      </w:pPr>
      <w:r>
        <w:rPr>
          <w:rFonts w:ascii="宋体" w:hAnsi="宋体" w:eastAsia="宋体"/>
          <w:sz w:val="24"/>
        </w:rPr>
        <w:t>位置：第77行。</w:t>
      </w:r>
    </w:p>
    <w:p>
      <w:pPr>
        <w:pStyle w:val="ListBullet"/>
        <w:spacing w:line="360" w:lineRule="auto" w:after="100"/>
      </w:pPr>
      <w:r>
        <w:rPr>
          <w:rFonts w:ascii="宋体" w:hAnsi="宋体" w:eastAsia="宋体"/>
          <w:sz w:val="24"/>
        </w:rPr>
        <w:t>原句：“能够证明科棚及执行其工作任务的人员组织、指示或实际实施入户……”</w:t>
      </w:r>
    </w:p>
    <w:p>
      <w:pPr>
        <w:pStyle w:val="ListBullet"/>
        <w:spacing w:line="360" w:lineRule="auto" w:after="100"/>
      </w:pPr>
      <w:r>
        <w:rPr>
          <w:rFonts w:ascii="宋体" w:hAnsi="宋体" w:eastAsia="宋体"/>
          <w:sz w:val="24"/>
        </w:rPr>
        <w:t>问题：科棚作为法人可以组织、指示；工作人员可以实施。原句把两类主体与三类行为不加区分地并列。</w:t>
      </w:r>
    </w:p>
    <w:p>
      <w:pPr>
        <w:pStyle w:val="ListBullet"/>
        <w:spacing w:line="360" w:lineRule="auto" w:after="100"/>
      </w:pPr>
      <w:r>
        <w:rPr>
          <w:rFonts w:ascii="宋体" w:hAnsi="宋体" w:eastAsia="宋体"/>
          <w:sz w:val="24"/>
        </w:rPr>
        <w:t>建议改写：“如有关证据能够证明科棚直接组织、指示实施相关行为，或者科棚工作人员在执行工作任务过程中实施入户、钻孔、剔凿、拆卸、封堵并遗留检测废料，则科棚是否承担相应责任，应依据其具体行为及《民法典》第一千一百九十一条等规定审查，不以其具有整栋楼长期管理职责为必要前提。”</w:t>
      </w:r>
    </w:p>
    <w:p>
      <w:pPr>
        <w:pStyle w:val="Heading2"/>
      </w:pPr>
      <w:r>
        <w:t>26. “证据闭环”偏工作汇报语言</w:t>
      </w:r>
    </w:p>
    <w:p>
      <w:pPr>
        <w:pStyle w:val="ListBullet"/>
        <w:spacing w:line="360" w:lineRule="auto" w:after="100"/>
      </w:pPr>
      <w:r>
        <w:rPr>
          <w:rFonts w:ascii="宋体" w:hAnsi="宋体" w:eastAsia="宋体"/>
          <w:sz w:val="24"/>
        </w:rPr>
        <w:t>位置：第81行。</w:t>
      </w:r>
    </w:p>
    <w:p>
      <w:pPr>
        <w:pStyle w:val="ListBullet"/>
        <w:spacing w:line="360" w:lineRule="auto" w:after="100"/>
      </w:pPr>
      <w:r>
        <w:rPr>
          <w:rFonts w:ascii="宋体" w:hAnsi="宋体" w:eastAsia="宋体"/>
          <w:sz w:val="24"/>
        </w:rPr>
        <w:t>原句：“具体修复判项应建立‘原状态—变化时间—行为主体—因果关系—修复方式—验收标准’的证据闭环。”</w:t>
      </w:r>
    </w:p>
    <w:p>
      <w:pPr>
        <w:pStyle w:val="ListBullet"/>
        <w:spacing w:line="360" w:lineRule="auto" w:after="100"/>
      </w:pPr>
      <w:r>
        <w:rPr>
          <w:rFonts w:ascii="宋体" w:hAnsi="宋体" w:eastAsia="宋体"/>
          <w:sz w:val="24"/>
        </w:rPr>
        <w:t>建议改写：“就具体修复请求，原告应围绕原有状态、变化时间、行为主体、因果关系、合理修复方式及验收标准形成相互印证的证明体系。”</w:t>
      </w:r>
    </w:p>
    <w:p>
      <w:pPr>
        <w:pStyle w:val="Heading2"/>
      </w:pPr>
      <w:r>
        <w:t>27. 垃圾清运证明力宜用“相关证据”而非确定性“证明价值较高”</w:t>
      </w:r>
    </w:p>
    <w:p>
      <w:pPr>
        <w:pStyle w:val="ListBullet"/>
        <w:spacing w:line="360" w:lineRule="auto" w:after="100"/>
      </w:pPr>
      <w:r>
        <w:rPr>
          <w:rFonts w:ascii="宋体" w:hAnsi="宋体" w:eastAsia="宋体"/>
          <w:sz w:val="24"/>
        </w:rPr>
        <w:t>位置：第87行。</w:t>
      </w:r>
    </w:p>
    <w:p>
      <w:pPr>
        <w:pStyle w:val="ListBullet"/>
        <w:spacing w:line="360" w:lineRule="auto" w:after="100"/>
      </w:pPr>
      <w:r>
        <w:rPr>
          <w:rFonts w:ascii="宋体" w:hAnsi="宋体" w:eastAsia="宋体"/>
          <w:sz w:val="24"/>
        </w:rPr>
        <w:t>原句：“第一，对科棚实际介入……证明价值较高；第二，对科棚与本案诉争事实并非毫无关系，具有补强作用……”</w:t>
      </w:r>
    </w:p>
    <w:p>
      <w:pPr>
        <w:pStyle w:val="ListBullet"/>
        <w:spacing w:line="360" w:lineRule="auto" w:after="100"/>
      </w:pPr>
      <w:r>
        <w:rPr>
          <w:rFonts w:ascii="宋体" w:hAnsi="宋体" w:eastAsia="宋体"/>
          <w:sz w:val="24"/>
        </w:rPr>
        <w:t>问题：在证据尚未提交、质证前，不宜直接确定证明力等级；“并非毫无关系”仍是双重否定。</w:t>
      </w:r>
    </w:p>
    <w:p>
      <w:pPr>
        <w:pStyle w:val="ListBullet"/>
        <w:spacing w:line="360" w:lineRule="auto" w:after="100"/>
      </w:pPr>
      <w:r>
        <w:rPr>
          <w:rFonts w:ascii="宋体" w:hAnsi="宋体" w:eastAsia="宋体"/>
          <w:sz w:val="24"/>
        </w:rPr>
        <w:t>建议改写：“第一，可作为认定科棚实际介入涉案楼栋现实事务并具有一定协调能力的相关证据；第二，可与其他证据共同用于判断科棚与诉争事实之间的关联；第三，尚不足以据此认定科棚系法定管理主体或者生活垃圾形成主体；第四，对科棚是否承担建筑垃圾、排水、围挡及历史修复义务，不具有直接证明作用。”</w:t>
      </w:r>
    </w:p>
    <w:p>
      <w:pPr>
        <w:pStyle w:val="Heading2"/>
      </w:pPr>
      <w:r>
        <w:t>28. “为何生活垃圾能够处理”带有质问语气</w:t>
      </w:r>
    </w:p>
    <w:p>
      <w:pPr>
        <w:pStyle w:val="ListBullet"/>
        <w:spacing w:line="360" w:lineRule="auto" w:after="100"/>
      </w:pPr>
      <w:r>
        <w:rPr>
          <w:rFonts w:ascii="宋体" w:hAnsi="宋体" w:eastAsia="宋体"/>
          <w:sz w:val="24"/>
        </w:rPr>
        <w:t>位置：第89行末句。</w:t>
      </w:r>
    </w:p>
    <w:p>
      <w:pPr>
        <w:pStyle w:val="ListBullet"/>
        <w:spacing w:line="360" w:lineRule="auto" w:after="100"/>
      </w:pPr>
      <w:r>
        <w:rPr>
          <w:rFonts w:ascii="宋体" w:hAnsi="宋体" w:eastAsia="宋体"/>
          <w:sz w:val="24"/>
        </w:rPr>
        <w:t>原句：“也能说明为何生活垃圾能够处理而建筑废料、排水、围挡等现存问题仍未形成责任清单和治理安排。”</w:t>
      </w:r>
    </w:p>
    <w:p>
      <w:pPr>
        <w:pStyle w:val="ListBullet"/>
        <w:spacing w:line="360" w:lineRule="auto" w:after="100"/>
      </w:pPr>
      <w:r>
        <w:rPr>
          <w:rFonts w:ascii="宋体" w:hAnsi="宋体" w:eastAsia="宋体"/>
          <w:sz w:val="24"/>
        </w:rPr>
        <w:t>建议改写：“并有助于进一步查明生活垃圾清运与建筑废料、排水、围挡等事项的责任分工，以及后者尚未同步处置的原因。”</w:t>
      </w:r>
    </w:p>
    <w:p>
      <w:pPr>
        <w:pStyle w:val="Heading2"/>
      </w:pPr>
      <w:r>
        <w:t>29. 自认用语应指向诉讼法意义上的自认</w:t>
      </w:r>
    </w:p>
    <w:p>
      <w:pPr>
        <w:pStyle w:val="ListBullet"/>
        <w:spacing w:line="360" w:lineRule="auto" w:after="100"/>
      </w:pPr>
      <w:r>
        <w:rPr>
          <w:rFonts w:ascii="宋体" w:hAnsi="宋体" w:eastAsia="宋体"/>
          <w:sz w:val="24"/>
        </w:rPr>
        <w:t>位置：第91行、第202行。</w:t>
      </w:r>
    </w:p>
    <w:p>
      <w:pPr>
        <w:pStyle w:val="ListBullet"/>
        <w:spacing w:line="360" w:lineRule="auto" w:after="100"/>
      </w:pPr>
      <w:r>
        <w:rPr>
          <w:rFonts w:ascii="宋体" w:hAnsi="宋体" w:eastAsia="宋体"/>
          <w:sz w:val="24"/>
        </w:rPr>
        <w:t>原句：“诉后清理或协调行为不当然构成自认。任何调解意愿亦不得表述为责任承认。”</w:t>
      </w:r>
    </w:p>
    <w:p>
      <w:pPr>
        <w:pStyle w:val="ListBullet"/>
        <w:spacing w:line="360" w:lineRule="auto" w:after="100"/>
      </w:pPr>
      <w:r>
        <w:rPr>
          <w:rFonts w:ascii="宋体" w:hAnsi="宋体" w:eastAsia="宋体"/>
          <w:sz w:val="24"/>
        </w:rPr>
        <w:t>问题：“责任承认”“全部责任自认”表述不够完整，应明确不构成对全部诉讼请求所涉事实或者责任的自认；同时不能排除当事人对某一具体事实作出明示自认的可能。</w:t>
      </w:r>
    </w:p>
    <w:p>
      <w:pPr>
        <w:pStyle w:val="ListBullet"/>
        <w:spacing w:line="360" w:lineRule="auto" w:after="100"/>
      </w:pPr>
      <w:r>
        <w:rPr>
          <w:rFonts w:ascii="宋体" w:hAnsi="宋体" w:eastAsia="宋体"/>
          <w:sz w:val="24"/>
        </w:rPr>
        <w:t>建议改写：“诉后清运或协调行为本身，不当然构成科棚对原告全部主张事实或者全部诉讼请求所涉责任的自认；科棚表达调解意愿，亦不当然产生诉讼法意义上的自认效力。其是否对某一具体事实构成自认，仍应以其明确陈述的内容为准。”</w:t>
      </w:r>
    </w:p>
    <w:p>
      <w:pPr>
        <w:pStyle w:val="ListBullet"/>
        <w:spacing w:line="360" w:lineRule="auto" w:after="100"/>
      </w:pPr>
      <w:r>
        <w:rPr>
          <w:rFonts w:ascii="宋体" w:hAnsi="宋体" w:eastAsia="宋体"/>
          <w:sz w:val="24"/>
        </w:rPr>
        <w:t>第202行末句相应改为：“诉后垃圾清运协调事实如经核实，仅能在其实际介入及协调行为范围内评价，不得据此推定科棚对全部诉讼请求所涉责任作出自认。”</w:t>
      </w:r>
    </w:p>
    <w:p>
      <w:pPr>
        <w:pStyle w:val="Heading2"/>
      </w:pPr>
      <w:r>
        <w:t>30. “给付判项”不能准确覆盖清除妨害行为</w:t>
      </w:r>
    </w:p>
    <w:p>
      <w:pPr>
        <w:pStyle w:val="ListBullet"/>
        <w:spacing w:line="360" w:lineRule="auto" w:after="100"/>
      </w:pPr>
      <w:r>
        <w:rPr>
          <w:rFonts w:ascii="宋体" w:hAnsi="宋体" w:eastAsia="宋体"/>
          <w:sz w:val="24"/>
        </w:rPr>
        <w:t>位置：第97行末句。</w:t>
      </w:r>
    </w:p>
    <w:p>
      <w:pPr>
        <w:pStyle w:val="ListBullet"/>
        <w:spacing w:line="360" w:lineRule="auto" w:after="100"/>
      </w:pPr>
      <w:r>
        <w:rPr>
          <w:rFonts w:ascii="宋体" w:hAnsi="宋体" w:eastAsia="宋体"/>
          <w:sz w:val="24"/>
        </w:rPr>
        <w:t>原句：“方可针对科棚作出给付判项。”</w:t>
      </w:r>
    </w:p>
    <w:p>
      <w:pPr>
        <w:pStyle w:val="ListBullet"/>
        <w:spacing w:line="360" w:lineRule="auto" w:after="100"/>
      </w:pPr>
      <w:r>
        <w:rPr>
          <w:rFonts w:ascii="宋体" w:hAnsi="宋体" w:eastAsia="宋体"/>
          <w:sz w:val="24"/>
        </w:rPr>
        <w:t>问题：“给付判项”过于笼统，且本句具体指向清除行为。</w:t>
      </w:r>
    </w:p>
    <w:p>
      <w:pPr>
        <w:pStyle w:val="ListBullet"/>
        <w:spacing w:line="360" w:lineRule="auto" w:after="100"/>
      </w:pPr>
      <w:r>
        <w:rPr>
          <w:rFonts w:ascii="宋体" w:hAnsi="宋体" w:eastAsia="宋体"/>
          <w:sz w:val="24"/>
        </w:rPr>
        <w:t>建议改写：“方可根据查明的行为或者义务来源，判令科棚清除相应废料或者承担与其责任范围相适应的清理义务。”</w:t>
      </w:r>
    </w:p>
    <w:p>
      <w:pPr>
        <w:pStyle w:val="Heading2"/>
      </w:pPr>
      <w:r>
        <w:t>31. “异化为无限期剥夺”修辞过强</w:t>
      </w:r>
    </w:p>
    <w:p>
      <w:pPr>
        <w:pStyle w:val="ListBullet"/>
        <w:spacing w:line="360" w:lineRule="auto" w:after="100"/>
      </w:pPr>
      <w:r>
        <w:rPr>
          <w:rFonts w:ascii="宋体" w:hAnsi="宋体" w:eastAsia="宋体"/>
          <w:sz w:val="24"/>
        </w:rPr>
        <w:t>位置：第105行末句。</w:t>
      </w:r>
    </w:p>
    <w:p>
      <w:pPr>
        <w:pStyle w:val="ListBullet"/>
        <w:spacing w:line="360" w:lineRule="auto" w:after="100"/>
      </w:pPr>
      <w:r>
        <w:rPr>
          <w:rFonts w:ascii="宋体" w:hAnsi="宋体" w:eastAsia="宋体"/>
          <w:sz w:val="24"/>
        </w:rPr>
        <w:t>原句：“不能将临时防护异化为无限期剥夺产权人使用条件。”</w:t>
      </w:r>
    </w:p>
    <w:p>
      <w:pPr>
        <w:pStyle w:val="ListBullet"/>
        <w:spacing w:line="360" w:lineRule="auto" w:after="100"/>
      </w:pPr>
      <w:r>
        <w:rPr>
          <w:rFonts w:ascii="宋体" w:hAnsi="宋体" w:eastAsia="宋体"/>
          <w:sz w:val="24"/>
        </w:rPr>
        <w:t>建议改写：“临时安全防护措施应当与现实风险相适应，并具有明确范围和期限；不应因采取临时防护措施而长期、完全限制原告行使必要通行及使用权益。”</w:t>
      </w:r>
    </w:p>
    <w:p>
      <w:pPr>
        <w:pStyle w:val="Heading2"/>
      </w:pPr>
      <w:r>
        <w:t>32. “归原告个人处分”语法错误且易混同共有权和处分权</w:t>
      </w:r>
    </w:p>
    <w:p>
      <w:pPr>
        <w:pStyle w:val="ListBullet"/>
        <w:spacing w:line="360" w:lineRule="auto" w:after="100"/>
      </w:pPr>
      <w:r>
        <w:rPr>
          <w:rFonts w:ascii="宋体" w:hAnsi="宋体" w:eastAsia="宋体"/>
          <w:sz w:val="24"/>
        </w:rPr>
        <w:t>位置：第109行末句。</w:t>
      </w:r>
    </w:p>
    <w:p>
      <w:pPr>
        <w:pStyle w:val="ListBullet"/>
        <w:spacing w:line="360" w:lineRule="auto" w:after="100"/>
      </w:pPr>
      <w:r>
        <w:rPr>
          <w:rFonts w:ascii="宋体" w:hAnsi="宋体" w:eastAsia="宋体"/>
          <w:sz w:val="24"/>
        </w:rPr>
        <w:t>原句：“不主张其当然归原告个人处分。”</w:t>
      </w:r>
    </w:p>
    <w:p>
      <w:pPr>
        <w:pStyle w:val="ListBullet"/>
        <w:spacing w:line="360" w:lineRule="auto" w:after="100"/>
      </w:pPr>
      <w:r>
        <w:rPr>
          <w:rFonts w:ascii="宋体" w:hAnsi="宋体" w:eastAsia="宋体"/>
          <w:sz w:val="24"/>
        </w:rPr>
        <w:t>建议改写：“原告不主张对一楼铁门等可能属于共有部分的设施享有单独处分权；有关拆移、修复请求应在查明权属、设置依据以及消防、结构安全影响后具体确定。”</w:t>
      </w:r>
    </w:p>
    <w:p>
      <w:pPr>
        <w:pStyle w:val="Heading2"/>
      </w:pPr>
      <w:r>
        <w:t>33. “鉴定并非治理终点”宜保留观点但改为裁判语言</w:t>
      </w:r>
    </w:p>
    <w:p>
      <w:pPr>
        <w:pStyle w:val="ListBullet"/>
        <w:spacing w:line="360" w:lineRule="auto" w:after="100"/>
      </w:pPr>
      <w:r>
        <w:rPr>
          <w:rFonts w:ascii="宋体" w:hAnsi="宋体" w:eastAsia="宋体"/>
          <w:sz w:val="24"/>
        </w:rPr>
        <w:t>位置：第111行标题、第119行。</w:t>
      </w:r>
    </w:p>
    <w:p>
      <w:pPr>
        <w:pStyle w:val="ListBullet"/>
        <w:spacing w:line="360" w:lineRule="auto" w:after="100"/>
      </w:pPr>
      <w:r>
        <w:rPr>
          <w:rFonts w:ascii="宋体" w:hAnsi="宋体" w:eastAsia="宋体"/>
          <w:sz w:val="24"/>
        </w:rPr>
        <w:t>原句：“房屋安全鉴定并非治理终点，合法鉴定发现风险后应进一步说明治理安排。”</w:t>
      </w:r>
    </w:p>
    <w:p>
      <w:pPr>
        <w:pStyle w:val="ListBullet"/>
        <w:spacing w:line="360" w:lineRule="auto" w:after="100"/>
      </w:pPr>
      <w:r>
        <w:rPr>
          <w:rFonts w:ascii="宋体" w:hAnsi="宋体" w:eastAsia="宋体"/>
          <w:sz w:val="24"/>
        </w:rPr>
        <w:t>问题：标题具有口号式概括；“谁说明”不明确。</w:t>
      </w:r>
    </w:p>
    <w:p>
      <w:pPr>
        <w:pStyle w:val="ListBullet"/>
        <w:spacing w:line="360" w:lineRule="auto" w:after="100"/>
      </w:pPr>
      <w:r>
        <w:rPr>
          <w:rFonts w:ascii="宋体" w:hAnsi="宋体" w:eastAsia="宋体"/>
          <w:sz w:val="24"/>
        </w:rPr>
        <w:t>建议改写：“房屋安全鉴定用于识别安全风险；经鉴定发现风险后，尚需查明后续防护及治理安排。”</w:t>
      </w:r>
    </w:p>
    <w:p>
      <w:pPr>
        <w:pStyle w:val="ListBullet"/>
        <w:spacing w:line="360" w:lineRule="auto" w:after="100"/>
      </w:pPr>
      <w:r>
        <w:rPr>
          <w:rFonts w:ascii="宋体" w:hAnsi="宋体" w:eastAsia="宋体"/>
          <w:sz w:val="24"/>
        </w:rPr>
        <w:t>原句：“围挡、警示和限制使用可能是必要的临时防护，但不当然构成永久治理结果。”</w:t>
      </w:r>
    </w:p>
    <w:p>
      <w:pPr>
        <w:pStyle w:val="ListBullet"/>
        <w:spacing w:line="360" w:lineRule="auto" w:after="100"/>
      </w:pPr>
      <w:r>
        <w:rPr>
          <w:rFonts w:ascii="宋体" w:hAnsi="宋体" w:eastAsia="宋体"/>
          <w:sz w:val="24"/>
        </w:rPr>
        <w:t>建议改写：“围挡、警示和限制使用可以作为与风险相适应的临时防护措施，但不当然等同于最终治理措施。”</w:t>
      </w:r>
    </w:p>
    <w:p>
      <w:pPr>
        <w:pStyle w:val="Heading2"/>
      </w:pPr>
      <w:r>
        <w:t>34. C/Csu、B/Bsu斜线并列容易造成评级体系混同</w:t>
      </w:r>
    </w:p>
    <w:p>
      <w:pPr>
        <w:pStyle w:val="ListBullet"/>
        <w:spacing w:line="360" w:lineRule="auto" w:after="100"/>
      </w:pPr>
      <w:r>
        <w:rPr>
          <w:rFonts w:ascii="宋体" w:hAnsi="宋体" w:eastAsia="宋体"/>
          <w:sz w:val="24"/>
        </w:rPr>
        <w:t>位置：第113行、第115行、第117行、第176行。</w:t>
      </w:r>
    </w:p>
    <w:p>
      <w:pPr>
        <w:pStyle w:val="ListBullet"/>
        <w:spacing w:line="360" w:lineRule="auto" w:after="100"/>
      </w:pPr>
      <w:r>
        <w:rPr>
          <w:rFonts w:ascii="宋体" w:hAnsi="宋体" w:eastAsia="宋体"/>
          <w:sz w:val="24"/>
        </w:rPr>
        <w:t>原句：“整体结论为C/Csu”“房屋原为B/Bsu、后降为C/Csu”“结论为C或Csu”“恢复至不低于B/Bsu”。</w:t>
      </w:r>
    </w:p>
    <w:p>
      <w:pPr>
        <w:pStyle w:val="ListBullet"/>
        <w:spacing w:line="360" w:lineRule="auto" w:after="100"/>
      </w:pPr>
      <w:r>
        <w:rPr>
          <w:rFonts w:ascii="宋体" w:hAnsi="宋体" w:eastAsia="宋体"/>
          <w:sz w:val="24"/>
        </w:rPr>
        <w:t>问题：房屋安全性等级与子单元安全性等级应按报告原文分别表述，斜线并列会弱化V1已经作出的可比性限制。</w:t>
      </w:r>
    </w:p>
    <w:p>
      <w:pPr>
        <w:pStyle w:val="ListBullet"/>
        <w:spacing w:line="360" w:lineRule="auto" w:after="100"/>
      </w:pPr>
      <w:r>
        <w:rPr>
          <w:rFonts w:ascii="宋体" w:hAnsi="宋体" w:eastAsia="宋体"/>
          <w:sz w:val="24"/>
        </w:rPr>
        <w:t>建议改写：首次出现时分别写明“报告所载整幢房屋安全性鉴定等级为C级，相关子单元安全性鉴定等级为Csu级（具体以报告原文为准）”；其后写为“2022年报告所载C级及Csu级结论”。对2023年报告，只写生效裁判已经记载的“主体结构安全性鉴定等级为B级”，在取得完整报告前不使用“Bsu”称谓。</w:t>
      </w:r>
    </w:p>
    <w:p>
      <w:pPr>
        <w:pStyle w:val="Heading2"/>
      </w:pPr>
      <w:r>
        <w:t>35. 政策效力边界段落中应避免把“不能转移职责”写成政策的作用</w:t>
      </w:r>
    </w:p>
    <w:p>
      <w:pPr>
        <w:pStyle w:val="ListBullet"/>
        <w:spacing w:line="360" w:lineRule="auto" w:after="100"/>
      </w:pPr>
      <w:r>
        <w:rPr>
          <w:rFonts w:ascii="宋体" w:hAnsi="宋体" w:eastAsia="宋体"/>
          <w:sz w:val="24"/>
        </w:rPr>
        <w:t>位置：第132行。</w:t>
      </w:r>
    </w:p>
    <w:p>
      <w:pPr>
        <w:pStyle w:val="ListBullet"/>
        <w:spacing w:line="360" w:lineRule="auto" w:after="100"/>
      </w:pPr>
      <w:r>
        <w:rPr>
          <w:rFonts w:ascii="宋体" w:hAnsi="宋体" w:eastAsia="宋体"/>
          <w:sz w:val="24"/>
        </w:rPr>
        <w:t>原句：“它不能直接证明科棚实施了妨害行为，不能将开福棚改投职责转移给科棚，更不能产生原告要求科棚必须原拆原建……”</w:t>
      </w:r>
    </w:p>
    <w:p>
      <w:pPr>
        <w:pStyle w:val="ListBullet"/>
        <w:spacing w:line="360" w:lineRule="auto" w:after="100"/>
      </w:pPr>
      <w:r>
        <w:rPr>
          <w:rFonts w:ascii="宋体" w:hAnsi="宋体" w:eastAsia="宋体"/>
          <w:sz w:val="24"/>
        </w:rPr>
        <w:t>问题：政策本身并不存在“转移职责”的法律效果，宜表述为其“不足以证明或认定”。</w:t>
      </w:r>
    </w:p>
    <w:p>
      <w:pPr>
        <w:pStyle w:val="ListBullet"/>
        <w:spacing w:line="360" w:lineRule="auto" w:after="100"/>
      </w:pPr>
      <w:r>
        <w:rPr>
          <w:rFonts w:ascii="宋体" w:hAnsi="宋体" w:eastAsia="宋体"/>
          <w:sz w:val="24"/>
        </w:rPr>
        <w:t>建议改写：“上述政策文件不能用于直接证明科棚实施了具体妨害行为，也不足以认定开福棚改投的相关职责已经委托或者转由科棚承担，更不能直接构成原告请求科棚实施原拆原建、收购房屋或者承担城市更新项目义务的民事请求权基础。”</w:t>
      </w:r>
    </w:p>
    <w:p>
      <w:pPr>
        <w:pStyle w:val="Heading2"/>
      </w:pPr>
      <w:r>
        <w:t>36. 尚未施行文件不宜称“未来治理背景”</w:t>
      </w:r>
    </w:p>
    <w:p>
      <w:pPr>
        <w:pStyle w:val="ListBullet"/>
        <w:spacing w:line="360" w:lineRule="auto" w:after="100"/>
      </w:pPr>
      <w:r>
        <w:rPr>
          <w:rFonts w:ascii="宋体" w:hAnsi="宋体" w:eastAsia="宋体"/>
          <w:sz w:val="24"/>
        </w:rPr>
        <w:t>位置：第136行。</w:t>
      </w:r>
    </w:p>
    <w:p>
      <w:pPr>
        <w:pStyle w:val="ListBullet"/>
        <w:spacing w:line="360" w:lineRule="auto" w:after="100"/>
      </w:pPr>
      <w:r>
        <w:rPr>
          <w:rFonts w:ascii="宋体" w:hAnsi="宋体" w:eastAsia="宋体"/>
          <w:sz w:val="24"/>
        </w:rPr>
        <w:t>原句：“只能作为未来治理背景……”</w:t>
      </w:r>
    </w:p>
    <w:p>
      <w:pPr>
        <w:pStyle w:val="ListBullet"/>
        <w:spacing w:line="360" w:lineRule="auto" w:after="100"/>
      </w:pPr>
      <w:r>
        <w:rPr>
          <w:rFonts w:ascii="宋体" w:hAnsi="宋体" w:eastAsia="宋体"/>
          <w:sz w:val="24"/>
        </w:rPr>
        <w:t>建议改写：“在其施行前，不得作为认定当前民事责任的现行规范依据；如用于说明后续治理制度变化，应明确标注其尚未施行的状态。”</w:t>
      </w:r>
    </w:p>
    <w:p>
      <w:pPr>
        <w:pStyle w:val="Heading2"/>
      </w:pPr>
      <w:r>
        <w:t>37. 第十二节标题先行认定“长期未进入明确治理程序”</w:t>
      </w:r>
    </w:p>
    <w:p>
      <w:pPr>
        <w:pStyle w:val="ListBullet"/>
        <w:spacing w:line="360" w:lineRule="auto" w:after="100"/>
      </w:pPr>
      <w:r>
        <w:rPr>
          <w:rFonts w:ascii="宋体" w:hAnsi="宋体" w:eastAsia="宋体"/>
          <w:sz w:val="24"/>
        </w:rPr>
        <w:t>位置：第138行标题、第148行。</w:t>
      </w:r>
    </w:p>
    <w:p>
      <w:pPr>
        <w:pStyle w:val="ListBullet"/>
        <w:spacing w:line="360" w:lineRule="auto" w:after="100"/>
      </w:pPr>
      <w:r>
        <w:rPr>
          <w:rFonts w:ascii="宋体" w:hAnsi="宋体" w:eastAsia="宋体"/>
          <w:sz w:val="24"/>
        </w:rPr>
        <w:t>原句：“楠木厅12号长期未进入明确治理程序的原因……有必要查明。”</w:t>
      </w:r>
    </w:p>
    <w:p>
      <w:pPr>
        <w:pStyle w:val="ListBullet"/>
        <w:spacing w:line="360" w:lineRule="auto" w:after="100"/>
      </w:pPr>
      <w:r>
        <w:rPr>
          <w:rFonts w:ascii="宋体" w:hAnsi="宋体" w:eastAsia="宋体"/>
          <w:sz w:val="24"/>
        </w:rPr>
        <w:t>问题：前文已经说明公开材料只能确认“尚未检出”，尚不能认定现实中不存在方案或治理程序。</w:t>
      </w:r>
    </w:p>
    <w:p>
      <w:pPr>
        <w:pStyle w:val="ListBullet"/>
        <w:spacing w:line="360" w:lineRule="auto" w:after="100"/>
      </w:pPr>
      <w:r>
        <w:rPr>
          <w:rFonts w:ascii="宋体" w:hAnsi="宋体" w:eastAsia="宋体"/>
          <w:sz w:val="24"/>
        </w:rPr>
        <w:t>建议改写：“楠木厅12号后续治理进展及科棚、开福棚改投的具体项目角色有待进一步查明。”</w:t>
      </w:r>
    </w:p>
    <w:p>
      <w:pPr>
        <w:pStyle w:val="ListBullet"/>
        <w:spacing w:line="360" w:lineRule="auto" w:after="100"/>
      </w:pPr>
      <w:r>
        <w:rPr>
          <w:rFonts w:ascii="宋体" w:hAnsi="宋体" w:eastAsia="宋体"/>
          <w:sz w:val="24"/>
        </w:rPr>
        <w:t>原句：“楠木厅12号未进入可见治理实施阶段的文件依据。”</w:t>
      </w:r>
    </w:p>
    <w:p>
      <w:pPr>
        <w:pStyle w:val="ListBullet"/>
        <w:spacing w:line="360" w:lineRule="auto" w:after="100"/>
      </w:pPr>
      <w:r>
        <w:rPr>
          <w:rFonts w:ascii="宋体" w:hAnsi="宋体" w:eastAsia="宋体"/>
          <w:sz w:val="24"/>
        </w:rPr>
        <w:t>建议改写：“公开材料尚未显示楠木厅12号已进入具体治理实施阶段的原因及相关文件依据。”</w:t>
      </w:r>
    </w:p>
    <w:p>
      <w:pPr>
        <w:pStyle w:val="Heading2"/>
      </w:pPr>
      <w:r>
        <w:t>38. “正当调查问题”不属于规范诉讼表达</w:t>
      </w:r>
    </w:p>
    <w:p>
      <w:pPr>
        <w:pStyle w:val="ListBullet"/>
        <w:spacing w:line="360" w:lineRule="auto" w:after="100"/>
      </w:pPr>
      <w:r>
        <w:rPr>
          <w:rFonts w:ascii="宋体" w:hAnsi="宋体" w:eastAsia="宋体"/>
          <w:sz w:val="24"/>
        </w:rPr>
        <w:t>位置：第140行。</w:t>
      </w:r>
    </w:p>
    <w:p>
      <w:pPr>
        <w:pStyle w:val="ListBullet"/>
        <w:spacing w:line="360" w:lineRule="auto" w:after="100"/>
      </w:pPr>
      <w:r>
        <w:rPr>
          <w:rFonts w:ascii="宋体" w:hAnsi="宋体" w:eastAsia="宋体"/>
          <w:sz w:val="24"/>
        </w:rPr>
        <w:t>原句：“由此产生的正当调查问题是……”</w:t>
      </w:r>
    </w:p>
    <w:p>
      <w:pPr>
        <w:pStyle w:val="ListBullet"/>
        <w:spacing w:line="360" w:lineRule="auto" w:after="100"/>
      </w:pPr>
      <w:r>
        <w:rPr>
          <w:rFonts w:ascii="宋体" w:hAnsi="宋体" w:eastAsia="宋体"/>
          <w:sz w:val="24"/>
        </w:rPr>
        <w:t>建议改写：“据此，尚需查明以下事实：……”</w:t>
      </w:r>
    </w:p>
    <w:p>
      <w:pPr>
        <w:pStyle w:val="Heading2"/>
      </w:pPr>
      <w:r>
        <w:t>39. “共同被告或者第三人依法释明”应说明由谁申请以及程序性质</w:t>
      </w:r>
    </w:p>
    <w:p>
      <w:pPr>
        <w:pStyle w:val="ListBullet"/>
        <w:spacing w:line="360" w:lineRule="auto" w:after="100"/>
      </w:pPr>
      <w:r>
        <w:rPr>
          <w:rFonts w:ascii="宋体" w:hAnsi="宋体" w:eastAsia="宋体"/>
          <w:sz w:val="24"/>
        </w:rPr>
        <w:t>位置：第156行。</w:t>
      </w:r>
    </w:p>
    <w:p>
      <w:pPr>
        <w:pStyle w:val="ListBullet"/>
        <w:spacing w:line="360" w:lineRule="auto" w:after="100"/>
      </w:pPr>
      <w:r>
        <w:rPr>
          <w:rFonts w:ascii="宋体" w:hAnsi="宋体" w:eastAsia="宋体"/>
          <w:sz w:val="24"/>
        </w:rPr>
        <w:t>原句：“原告建议人民法院就追加开福棚改投为共同被告或者第三人依法释明……”</w:t>
      </w:r>
    </w:p>
    <w:p>
      <w:pPr>
        <w:pStyle w:val="ListBullet"/>
        <w:spacing w:line="360" w:lineRule="auto" w:after="100"/>
      </w:pPr>
      <w:r>
        <w:rPr>
          <w:rFonts w:ascii="宋体" w:hAnsi="宋体" w:eastAsia="宋体"/>
          <w:sz w:val="24"/>
        </w:rPr>
        <w:t>问题：“追加共同被告”与“通知第三人参加”程序依据及当事人地位不同，不能合并为同一处理结果；“释明”也应指明释明事项。</w:t>
      </w:r>
    </w:p>
    <w:p>
      <w:pPr>
        <w:pStyle w:val="ListBullet"/>
        <w:spacing w:line="360" w:lineRule="auto" w:after="100"/>
      </w:pPr>
      <w:r>
        <w:rPr>
          <w:rFonts w:ascii="宋体" w:hAnsi="宋体" w:eastAsia="宋体"/>
          <w:sz w:val="24"/>
        </w:rPr>
        <w:t>建议改写：“如诉讼请求涉及上述整体恢复事项，建议人民法院就开福棚改投是否属于必须共同进行诉讼的当事人、是否需要通知其参加诉讼，或者原告是否申请追加其为共同被告等程序事项依法审查并予以释明。”</w:t>
      </w:r>
    </w:p>
    <w:p>
      <w:pPr>
        <w:pStyle w:val="ListBullet"/>
        <w:spacing w:line="360" w:lineRule="auto" w:after="100"/>
      </w:pPr>
      <w:r>
        <w:rPr>
          <w:rFonts w:ascii="宋体" w:hAnsi="宋体" w:eastAsia="宋体"/>
          <w:sz w:val="24"/>
        </w:rPr>
        <w:t>原句：“科棚具有本案被告主体适格性，与开福棚改投也有必要参加广泛恢复争议，并不矛盾。”</w:t>
      </w:r>
    </w:p>
    <w:p>
      <w:pPr>
        <w:pStyle w:val="ListBullet"/>
        <w:spacing w:line="360" w:lineRule="auto" w:after="100"/>
      </w:pPr>
      <w:r>
        <w:rPr>
          <w:rFonts w:ascii="宋体" w:hAnsi="宋体" w:eastAsia="宋体"/>
          <w:sz w:val="24"/>
        </w:rPr>
        <w:t>建议改写：“科棚是否具有本案被告主体适格性，与开福棚改投在诉请涉及整体恢复事项时是否有必要参加诉讼，属于不同程序问题，应当分别审查。”</w:t>
      </w:r>
    </w:p>
    <w:p>
      <w:pPr>
        <w:pStyle w:val="Heading2"/>
      </w:pPr>
      <w:r>
        <w:t>40. 必要共同诉讼问题不能以“转入自愿调解”替代</w:t>
      </w:r>
    </w:p>
    <w:p>
      <w:pPr>
        <w:pStyle w:val="ListBullet"/>
        <w:spacing w:line="360" w:lineRule="auto" w:after="100"/>
      </w:pPr>
      <w:r>
        <w:rPr>
          <w:rFonts w:ascii="宋体" w:hAnsi="宋体" w:eastAsia="宋体"/>
          <w:sz w:val="24"/>
        </w:rPr>
        <w:t>位置：第162行。</w:t>
      </w:r>
    </w:p>
    <w:p>
      <w:pPr>
        <w:pStyle w:val="ListBullet"/>
        <w:spacing w:line="360" w:lineRule="auto" w:after="100"/>
      </w:pPr>
      <w:r>
        <w:rPr>
          <w:rFonts w:ascii="宋体" w:hAnsi="宋体" w:eastAsia="宋体"/>
          <w:sz w:val="24"/>
        </w:rPr>
        <w:t>原句：“对只恢复原告必要通行、制止具体侵害且不处分共有利益的请求，可以个别保护；对涉及共有系统整体改造或共同处分的方案，宜通知或追加其他共有权人参加，或者转入全体相关主体自愿调解。”</w:t>
      </w:r>
    </w:p>
    <w:p>
      <w:pPr>
        <w:pStyle w:val="ListBullet"/>
        <w:spacing w:line="360" w:lineRule="auto" w:after="100"/>
      </w:pPr>
      <w:r>
        <w:rPr>
          <w:rFonts w:ascii="宋体" w:hAnsi="宋体" w:eastAsia="宋体"/>
          <w:sz w:val="24"/>
        </w:rPr>
        <w:t>问题：“个别保护”不够专业；若其他共有权人依法属于必要共同诉讼人，不能以案件进入调解替代通知其参加诉讼。整体改造的实体表决与诉讼程序也应分别表达。</w:t>
      </w:r>
    </w:p>
    <w:p>
      <w:pPr>
        <w:pStyle w:val="ListBullet"/>
        <w:spacing w:line="360" w:lineRule="auto" w:after="100"/>
      </w:pPr>
      <w:r>
        <w:rPr>
          <w:rFonts w:ascii="宋体" w:hAnsi="宋体" w:eastAsia="宋体"/>
          <w:sz w:val="24"/>
        </w:rPr>
        <w:t>建议改写：“对于旨在恢复原告必要通行、制止针对其专有权或者共有权的具体妨害，且不涉及处分共有利益的请求，原告可以依法单独请求保护。对于涉及共有系统整体改造、共有结构加固或者其他重大共有事项的请求，应先审查其他共有权人是否属于必要共同诉讼人；依法属于必要共同诉讼人的，应当通知其参加诉讼。相关主体均参加后，可以在符合法定决策程序的前提下就整体治理方案进行调解。”</w:t>
      </w:r>
    </w:p>
    <w:p>
      <w:pPr>
        <w:pStyle w:val="Heading2"/>
      </w:pPr>
      <w:r>
        <w:t>41. “重构”宜用于内部评估，不宜作为正式代理意见标题</w:t>
      </w:r>
    </w:p>
    <w:p>
      <w:pPr>
        <w:pStyle w:val="ListBullet"/>
        <w:spacing w:line="360" w:lineRule="auto" w:after="100"/>
      </w:pPr>
      <w:r>
        <w:rPr>
          <w:rFonts w:ascii="宋体" w:hAnsi="宋体" w:eastAsia="宋体"/>
          <w:sz w:val="24"/>
        </w:rPr>
        <w:t>位置：第164行标题。</w:t>
      </w:r>
    </w:p>
    <w:p>
      <w:pPr>
        <w:pStyle w:val="ListBullet"/>
        <w:spacing w:line="360" w:lineRule="auto" w:after="100"/>
      </w:pPr>
      <w:r>
        <w:rPr>
          <w:rFonts w:ascii="宋体" w:hAnsi="宋体" w:eastAsia="宋体"/>
          <w:sz w:val="24"/>
        </w:rPr>
        <w:t>原句：“原诉请应由抽象‘恢复原状’重构为……”</w:t>
      </w:r>
    </w:p>
    <w:p>
      <w:pPr>
        <w:pStyle w:val="ListBullet"/>
        <w:spacing w:line="360" w:lineRule="auto" w:after="100"/>
      </w:pPr>
      <w:r>
        <w:rPr>
          <w:rFonts w:ascii="宋体" w:hAnsi="宋体" w:eastAsia="宋体"/>
          <w:sz w:val="24"/>
        </w:rPr>
        <w:t>建议改写：“原告诉讼请求宜具体明确为排除特定妨害并恢复相应正常、安全使用功能。”</w:t>
      </w:r>
    </w:p>
    <w:p>
      <w:pPr>
        <w:pStyle w:val="Heading2"/>
      </w:pPr>
      <w:r>
        <w:t>42. “规划、保护和工程主管主体”“功能等价修复”概念不清</w:t>
      </w:r>
    </w:p>
    <w:p>
      <w:pPr>
        <w:pStyle w:val="ListBullet"/>
        <w:spacing w:line="360" w:lineRule="auto" w:after="100"/>
      </w:pPr>
      <w:r>
        <w:rPr>
          <w:rFonts w:ascii="宋体" w:hAnsi="宋体" w:eastAsia="宋体"/>
          <w:sz w:val="24"/>
        </w:rPr>
        <w:t>位置：第174行。</w:t>
      </w:r>
    </w:p>
    <w:p>
      <w:pPr>
        <w:pStyle w:val="ListBullet"/>
        <w:spacing w:line="360" w:lineRule="auto" w:after="100"/>
      </w:pPr>
      <w:r>
        <w:rPr>
          <w:rFonts w:ascii="宋体" w:hAnsi="宋体" w:eastAsia="宋体"/>
          <w:sz w:val="24"/>
        </w:rPr>
        <w:t>原句：“裁判应主要确定‘结果’，不宜替代规划、保护和工程主管主体直接决定唯一技术方式。履行主体可以……选择修缮、加固或功能等价修复。”</w:t>
      </w:r>
    </w:p>
    <w:p>
      <w:pPr>
        <w:pStyle w:val="ListBullet"/>
        <w:spacing w:line="360" w:lineRule="auto" w:after="100"/>
      </w:pPr>
      <w:r>
        <w:rPr>
          <w:rFonts w:ascii="宋体" w:hAnsi="宋体" w:eastAsia="宋体"/>
          <w:sz w:val="24"/>
        </w:rPr>
        <w:t>问题：“主管主体”不是规范称谓；“功能等价修复”没有在本文定义，执行中可能产生争议。</w:t>
      </w:r>
    </w:p>
    <w:p>
      <w:pPr>
        <w:pStyle w:val="ListBullet"/>
        <w:spacing w:line="360" w:lineRule="auto" w:after="100"/>
      </w:pPr>
      <w:r>
        <w:rPr>
          <w:rFonts w:ascii="宋体" w:hAnsi="宋体" w:eastAsia="宋体"/>
          <w:sz w:val="24"/>
        </w:rPr>
        <w:t>建议改写：“裁判内容宜以明确的排除妨害、修复和功能恢复结果为主，不宜替代规划、历史文化保护等行政主管部门或者工程专业单位，直接确定依法应经行政审批、专业设计和论证的唯一工程技术方案。责任主体可以在符合法定审批程序、现行工程技术标准及判决确定的功能恢复要求的前提下，采用经专业论证的修缮、加固或者其他修复方式。”</w:t>
      </w:r>
    </w:p>
    <w:p>
      <w:pPr>
        <w:pStyle w:val="Heading2"/>
      </w:pPr>
      <w:r>
        <w:t>43. “依法履行或调解中的可能路径”仍易混同裁判与调解</w:t>
      </w:r>
    </w:p>
    <w:p>
      <w:pPr>
        <w:pStyle w:val="ListBullet"/>
        <w:spacing w:line="360" w:lineRule="auto" w:after="100"/>
      </w:pPr>
      <w:r>
        <w:rPr>
          <w:rFonts w:ascii="宋体" w:hAnsi="宋体" w:eastAsia="宋体"/>
          <w:sz w:val="24"/>
        </w:rPr>
        <w:t>位置：第174行末句。</w:t>
      </w:r>
    </w:p>
    <w:p>
      <w:pPr>
        <w:pStyle w:val="ListBullet"/>
        <w:spacing w:line="360" w:lineRule="auto" w:after="100"/>
      </w:pPr>
      <w:r>
        <w:rPr>
          <w:rFonts w:ascii="宋体" w:hAnsi="宋体" w:eastAsia="宋体"/>
          <w:sz w:val="24"/>
        </w:rPr>
        <w:t>原句：“城市更新、‘一屋一策’、改建及原拆原建应作为依法履行或调解中的可能路径……”</w:t>
      </w:r>
    </w:p>
    <w:p>
      <w:pPr>
        <w:pStyle w:val="ListBullet"/>
        <w:spacing w:line="360" w:lineRule="auto" w:after="100"/>
      </w:pPr>
      <w:r>
        <w:rPr>
          <w:rFonts w:ascii="宋体" w:hAnsi="宋体" w:eastAsia="宋体"/>
          <w:sz w:val="24"/>
        </w:rPr>
        <w:t>建议改写：“城市更新、‘一屋一策’、改建及原拆原建等事项，原则上属于需经业主协商、专业论证及行政审批的综合治理路径；在不将其作为本案直接判项的前提下，可以由相关主体在调解协议中自愿约定申请、论证及实施义务。”</w:t>
      </w:r>
    </w:p>
    <w:p>
      <w:pPr>
        <w:pStyle w:val="Heading2"/>
      </w:pPr>
      <w:r>
        <w:t>44. 对调解协议的表述宜采用建议语气，并突出可执行义务</w:t>
      </w:r>
    </w:p>
    <w:p>
      <w:pPr>
        <w:pStyle w:val="ListBullet"/>
        <w:spacing w:line="360" w:lineRule="auto" w:after="100"/>
      </w:pPr>
      <w:r>
        <w:rPr>
          <w:rFonts w:ascii="宋体" w:hAnsi="宋体" w:eastAsia="宋体"/>
          <w:sz w:val="24"/>
        </w:rPr>
        <w:t>位置：第184行。</w:t>
      </w:r>
    </w:p>
    <w:p>
      <w:pPr>
        <w:pStyle w:val="ListBullet"/>
        <w:spacing w:line="360" w:lineRule="auto" w:after="100"/>
      </w:pPr>
      <w:r>
        <w:rPr>
          <w:rFonts w:ascii="宋体" w:hAnsi="宋体" w:eastAsia="宋体"/>
          <w:sz w:val="24"/>
        </w:rPr>
        <w:t>原句：“调解协议不得使用‘积极推进’‘争取纳入’等不可执行表述。”</w:t>
      </w:r>
    </w:p>
    <w:p>
      <w:pPr>
        <w:pStyle w:val="ListBullet"/>
        <w:spacing w:line="360" w:lineRule="auto" w:after="100"/>
      </w:pPr>
      <w:r>
        <w:rPr>
          <w:rFonts w:ascii="宋体" w:hAnsi="宋体" w:eastAsia="宋体"/>
          <w:sz w:val="24"/>
        </w:rPr>
        <w:t>问题：作为代理意见，可更规范地表述为协议具体性要求；“可以申请强制执行的给付内容”过窄。</w:t>
      </w:r>
    </w:p>
    <w:p>
      <w:pPr>
        <w:pStyle w:val="ListBullet"/>
        <w:spacing w:line="360" w:lineRule="auto" w:after="100"/>
      </w:pPr>
      <w:r>
        <w:rPr>
          <w:rFonts w:ascii="宋体" w:hAnsi="宋体" w:eastAsia="宋体"/>
          <w:sz w:val="24"/>
        </w:rPr>
        <w:t>建议改写：“如各方达成调解协议，协议内容宜避免仅使用‘积极推进’‘争取纳入’等缺乏确定性的表述，并应明确履行主体、具体事项、期限、费用、行政审批申请义务、阶段性成果、鉴定或者验收机构、过渡安置、审批未获通过时的替代安排及违约责任，使相关义务具备确定性和可执行性。”</w:t>
      </w:r>
    </w:p>
    <w:p>
      <w:pPr>
        <w:pStyle w:val="Heading2"/>
      </w:pPr>
      <w:r>
        <w:t>45. “一房/一屋一策”斜线合并会掩盖文件来源差异</w:t>
      </w:r>
    </w:p>
    <w:p>
      <w:pPr>
        <w:pStyle w:val="ListBullet"/>
        <w:spacing w:line="360" w:lineRule="auto" w:after="100"/>
      </w:pPr>
      <w:r>
        <w:rPr>
          <w:rFonts w:ascii="宋体" w:hAnsi="宋体" w:eastAsia="宋体"/>
          <w:sz w:val="24"/>
        </w:rPr>
        <w:t>位置：第194行。</w:t>
      </w:r>
    </w:p>
    <w:p>
      <w:pPr>
        <w:pStyle w:val="ListBullet"/>
        <w:spacing w:line="360" w:lineRule="auto" w:after="100"/>
      </w:pPr>
      <w:r>
        <w:rPr>
          <w:rFonts w:ascii="宋体" w:hAnsi="宋体" w:eastAsia="宋体"/>
          <w:sz w:val="24"/>
        </w:rPr>
        <w:t>原句：“‘一房/一屋一策’……”</w:t>
      </w:r>
    </w:p>
    <w:p>
      <w:pPr>
        <w:pStyle w:val="ListBullet"/>
        <w:spacing w:line="360" w:lineRule="auto" w:after="100"/>
      </w:pPr>
      <w:r>
        <w:rPr>
          <w:rFonts w:ascii="宋体" w:hAnsi="宋体" w:eastAsia="宋体"/>
          <w:sz w:val="24"/>
        </w:rPr>
        <w:t>建议改写：“2022年鉴定报告附件所涉材料中记载的‘一房一策’方案，以及2026年行动方案所称历史文化街区‘一屋一策’相关材料……”</w:t>
      </w:r>
    </w:p>
    <w:p>
      <w:pPr>
        <w:pStyle w:val="Heading2"/>
      </w:pPr>
      <w:r>
        <w:t>46. 结论中的“直接行为”宜改为“被诉行为”，避免先行认定</w:t>
      </w:r>
    </w:p>
    <w:p>
      <w:pPr>
        <w:pStyle w:val="ListBullet"/>
        <w:spacing w:line="360" w:lineRule="auto" w:after="100"/>
      </w:pPr>
      <w:r>
        <w:rPr>
          <w:rFonts w:ascii="宋体" w:hAnsi="宋体" w:eastAsia="宋体"/>
          <w:sz w:val="24"/>
        </w:rPr>
        <w:t>位置：第206行。</w:t>
      </w:r>
    </w:p>
    <w:p>
      <w:pPr>
        <w:pStyle w:val="ListBullet"/>
        <w:spacing w:line="360" w:lineRule="auto" w:after="100"/>
      </w:pPr>
      <w:r>
        <w:rPr>
          <w:rFonts w:ascii="宋体" w:hAnsi="宋体" w:eastAsia="宋体"/>
          <w:sz w:val="24"/>
        </w:rPr>
        <w:t>原句：“对科棚直接行为及现存具体妨害进行充分调查……”</w:t>
      </w:r>
    </w:p>
    <w:p>
      <w:pPr>
        <w:pStyle w:val="ListBullet"/>
        <w:spacing w:line="360" w:lineRule="auto" w:after="100"/>
      </w:pPr>
      <w:r>
        <w:rPr>
          <w:rFonts w:ascii="宋体" w:hAnsi="宋体" w:eastAsia="宋体"/>
          <w:sz w:val="24"/>
        </w:rPr>
        <w:t>问题：科棚是否实施直接行为正是待查事实。</w:t>
      </w:r>
    </w:p>
    <w:p>
      <w:pPr>
        <w:pStyle w:val="ListBullet"/>
        <w:spacing w:line="360" w:lineRule="auto" w:after="100"/>
      </w:pPr>
      <w:r>
        <w:rPr>
          <w:rFonts w:ascii="宋体" w:hAnsi="宋体" w:eastAsia="宋体"/>
          <w:sz w:val="24"/>
        </w:rPr>
        <w:t>建议改写：“对原告主张由科棚实施、组织或者参与的现场行为，以及现存具体妨害的形成、控制和责任主体进行调查……”</w:t>
      </w:r>
    </w:p>
    <w:p>
      <w:pPr>
        <w:pStyle w:val="Heading2"/>
      </w:pPr>
      <w:r>
        <w:t>47. 法源与政策效力说明不宜置于签章之后</w:t>
      </w:r>
    </w:p>
    <w:p>
      <w:pPr>
        <w:pStyle w:val="ListBullet"/>
        <w:spacing w:line="360" w:lineRule="auto" w:after="100"/>
      </w:pPr>
      <w:r>
        <w:rPr>
          <w:rFonts w:ascii="宋体" w:hAnsi="宋体" w:eastAsia="宋体"/>
          <w:sz w:val="24"/>
        </w:rPr>
        <w:t>位置：第214至218行。</w:t>
      </w:r>
    </w:p>
    <w:p>
      <w:pPr>
        <w:pStyle w:val="ListBullet"/>
        <w:spacing w:line="360" w:lineRule="auto" w:after="100"/>
      </w:pPr>
      <w:r>
        <w:rPr>
          <w:rFonts w:ascii="宋体" w:hAnsi="宋体" w:eastAsia="宋体"/>
          <w:sz w:val="24"/>
        </w:rPr>
        <w:t>原句：签章之后另列“法源与政策效力说明”。</w:t>
      </w:r>
    </w:p>
    <w:p>
      <w:pPr>
        <w:pStyle w:val="ListBullet"/>
        <w:spacing w:line="360" w:lineRule="auto" w:after="100"/>
      </w:pPr>
      <w:r>
        <w:rPr>
          <w:rFonts w:ascii="宋体" w:hAnsi="宋体" w:eastAsia="宋体"/>
          <w:sz w:val="24"/>
        </w:rPr>
        <w:t>问题：正式代理意见通常以“此致—法院—代理人—日期”结束。签章之后继续出现实体内容，影响文书完整性，也可能使该部分是否属于正式意见发生歧义。</w:t>
      </w:r>
    </w:p>
    <w:p>
      <w:pPr>
        <w:pStyle w:val="ListBullet"/>
        <w:spacing w:line="360" w:lineRule="auto" w:after="100"/>
      </w:pPr>
      <w:r>
        <w:rPr>
          <w:rFonts w:ascii="宋体" w:hAnsi="宋体" w:eastAsia="宋体"/>
          <w:sz w:val="24"/>
        </w:rPr>
        <w:t>建议改写：将该部分移至正文第十一节之前，改为“本意见所引规范及政策文件的效力层级”，或者作为单独附件并在正文中注明“详见附件：规范及政策文件效力层级表”。</w:t>
      </w:r>
    </w:p>
    <w:p>
      <w:pPr>
        <w:pStyle w:val="Heading1"/>
      </w:pPr>
      <w:r>
        <w:t>四、建议统一的核心术语</w:t>
      </w:r>
    </w:p>
    <w:p>
      <w:pPr>
        <w:spacing w:line="360" w:lineRule="auto" w:after="100"/>
        <w:ind w:firstLine="420"/>
      </w:pPr>
      <w:r>
        <w:rPr>
          <w:rFonts w:ascii="宋体" w:hAnsi="宋体" w:eastAsia="宋体"/>
          <w:sz w:val="24"/>
        </w:rPr>
        <w:t>V2建议全文统一使用下列表述：</w:t>
      </w:r>
    </w:p>
    <w:tbl>
      <w:tblPr>
        <w:tblW w:type="auto" w:w="0"/>
        <w:jc w:val="center"/>
        <w:tblLayout w:type="autofit"/>
        <w:tblLook w:firstColumn="1" w:firstRow="1" w:lastColumn="0" w:lastRow="0" w:noHBand="0" w:noVBand="1" w:val="04A0"/>
      </w:tblPr>
      <w:tblGrid>
        <w:gridCol w:w="2986"/>
        <w:gridCol w:w="2986"/>
        <w:gridCol w:w="2986"/>
      </w:tblGrid>
      <w:tr>
        <w:trPr>
          <w:tblHeader/>
        </w:trPr>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涉及事项</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建议统一用语</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避免用语</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科棚诉讼地位</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“科棚与原告主张的诉争行为具有直接关联，系本案适格被告”</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“不是错误被告”“并非毫无关联的案外主体”</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各项责任</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“各项实体请求是否成立，仍应分别审查行为、义务来源、实际控制及因果关系”</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“主体适格即承担全部责任”</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鉴定依据</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“委托主体是否具有相应委托权限”“权限来源、范围及有效期间”</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“委托人的适格性”“有权鉴定就有权处置”</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公司之间关系</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“股权、项目合作、委托、授权、受托管理应分别认定”</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“关联关系自动转化为权限”</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科棚人员行为</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“科棚直接组织、指示，或者其工作人员执行工作任务时实施”</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“科棚及相关人员造成”</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垃圾清运</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“可作为实际介入及协调行为的相关证据”</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“证明其承认全部责任”</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自认</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“不当然构成对全部主张事实或者全部诉讼请求所涉责任的自认”</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“责任承认”“全部责任自认”</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房屋功能</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“恢复特定部位正常、安全使用功能”</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“恢复到能住”“笼统恢复原状”</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鉴定等级</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分别写明房屋安全性等级、子单元安全性等级及报告范围</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“B/Bsu”“C/Csu”不加区分地并列</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政策效力</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“作为治理背景、调查线索和调解路径参考，不直接构成民事请求权基础”</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“根据政策，被告负有原拆原建义务”</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综合更新</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“经业主协商、专业论证及行政审批后可在调解中自愿约定”</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“法院直接判令有机更新/原拆原建”</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共有权程序</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“先审查是否构成必要共同诉讼；相关主体参加后再依法调解”</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“通知追加或直接转入调解”</w:t>
            </w:r>
          </w:p>
        </w:tc>
      </w:tr>
    </w:tbl>
    <w:p>
      <w:pPr>
        <w:spacing w:after="20"/>
      </w:pPr>
    </w:p>
    <w:p>
      <w:pPr>
        <w:pStyle w:val="Heading1"/>
      </w:pPr>
      <w:r>
        <w:t>五、终审意见</w:t>
      </w:r>
    </w:p>
    <w:p>
      <w:pPr>
        <w:spacing w:line="360" w:lineRule="auto" w:after="100"/>
        <w:ind w:firstLine="420"/>
      </w:pPr>
      <w:r>
        <w:rPr>
          <w:rFonts w:ascii="宋体" w:hAnsi="宋体" w:eastAsia="宋体"/>
          <w:sz w:val="24"/>
        </w:rPr>
        <w:t>V1的核心法律语言框架已经成立，特别是对“主体适格不等于全部实体责任”“协调清运不等于责任自认”“专项鉴定权限不等于长期管理职责”“政策支持不等于直接民事请求权”四组概念，表达方向正确。</w:t>
      </w:r>
    </w:p>
    <w:p>
      <w:pPr>
        <w:spacing w:line="360" w:lineRule="auto" w:after="100"/>
        <w:ind w:firstLine="420"/>
      </w:pPr>
      <w:r>
        <w:rPr>
          <w:rFonts w:ascii="宋体" w:hAnsi="宋体" w:eastAsia="宋体"/>
          <w:sz w:val="24"/>
        </w:rPr>
        <w:t>V2应重点完成以下六项收口：</w:t>
      </w:r>
    </w:p>
    <w:p>
      <w:pPr>
        <w:pStyle w:val="ListNumber"/>
        <w:spacing w:line="360" w:lineRule="auto" w:after="100"/>
      </w:pPr>
      <w:r>
        <w:rPr>
          <w:rFonts w:ascii="宋体" w:hAnsi="宋体" w:eastAsia="宋体"/>
          <w:sz w:val="24"/>
        </w:rPr>
        <w:t>删除“真实旧证”“待核线索”“项目材料”“证据闭环”“重构”等内部工作底稿用语；</w:t>
      </w:r>
    </w:p>
    <w:p>
      <w:pPr>
        <w:pStyle w:val="ListNumber"/>
        <w:spacing w:line="360" w:lineRule="auto" w:after="100"/>
      </w:pPr>
      <w:r>
        <w:rPr>
          <w:rFonts w:ascii="宋体" w:hAnsi="宋体" w:eastAsia="宋体"/>
          <w:sz w:val="24"/>
        </w:rPr>
        <w:t>将所有“未经授权或法定程序进入”统一改写为不存在合法权限来源且未履行必要程序的完整条件表达；</w:t>
      </w:r>
    </w:p>
    <w:p>
      <w:pPr>
        <w:pStyle w:val="ListNumber"/>
        <w:spacing w:line="360" w:lineRule="auto" w:after="100"/>
      </w:pPr>
      <w:r>
        <w:rPr>
          <w:rFonts w:ascii="宋体" w:hAnsi="宋体" w:eastAsia="宋体"/>
          <w:sz w:val="24"/>
        </w:rPr>
        <w:t>将“委托人的适格性”改为“委托主体是否具有相应委托权限”，并分开“授权”“委托”“转委托”；</w:t>
      </w:r>
    </w:p>
    <w:p>
      <w:pPr>
        <w:pStyle w:val="ListNumber"/>
        <w:spacing w:line="360" w:lineRule="auto" w:after="100"/>
      </w:pPr>
      <w:r>
        <w:rPr>
          <w:rFonts w:ascii="宋体" w:hAnsi="宋体" w:eastAsia="宋体"/>
          <w:sz w:val="24"/>
        </w:rPr>
        <w:t>分别书写C级、Csu级及B级，禁止用斜线合并不同评级对象；</w:t>
      </w:r>
    </w:p>
    <w:p>
      <w:pPr>
        <w:pStyle w:val="ListNumber"/>
        <w:spacing w:line="360" w:lineRule="auto" w:after="100"/>
      </w:pPr>
      <w:r>
        <w:rPr>
          <w:rFonts w:ascii="宋体" w:hAnsi="宋体" w:eastAsia="宋体"/>
          <w:sz w:val="24"/>
        </w:rPr>
        <w:t>修正其他共有权人参加诉讼与自愿调解的关系，不得以调解替代必要共同诉讼程序；</w:t>
      </w:r>
    </w:p>
    <w:p>
      <w:pPr>
        <w:pStyle w:val="ListNumber"/>
        <w:spacing w:line="360" w:lineRule="auto" w:after="100"/>
      </w:pPr>
      <w:r>
        <w:rPr>
          <w:rFonts w:ascii="宋体" w:hAnsi="宋体" w:eastAsia="宋体"/>
          <w:sz w:val="24"/>
        </w:rPr>
        <w:t>把法源和政策效力说明移至签章之前或作为独立附件。</w:t>
      </w:r>
    </w:p>
    <w:p>
      <w:pPr>
        <w:spacing w:line="360" w:lineRule="auto" w:after="100"/>
        <w:ind w:firstLine="420"/>
      </w:pPr>
      <w:r>
        <w:rPr>
          <w:rFonts w:ascii="宋体" w:hAnsi="宋体" w:eastAsia="宋体"/>
          <w:sz w:val="24"/>
        </w:rPr>
        <w:t>完成上述逐句修改后，预计法律术语准确度、法律概念区分度和法院文书专业度均可达到95分以上，且不改变V1的实体诉讼立场。</w:t>
      </w:r>
    </w:p>
    <w:sectPr w:rsidR="00FC693F" w:rsidRPr="0006063C" w:rsidSect="00034616">
      <w:footerReference w:type="default" r:id="rId9"/>
      <w:pgSz w:w="11906" w:h="16838"/>
      <w:pgMar w:top="1474" w:right="1417" w:bottom="1361" w:left="1531"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宋体" w:hAnsi="宋体" w:eastAsia="宋体"/>
        <w:color w:val="5F6B78"/>
        <w:sz w:val="17"/>
      </w:rPr>
      <w:t xml:space="preserve">楠木厅12号案 · 2026年8月核验版  |  </w:t>
    </w:r>
    <w:r>
      <w:rPr>
        <w:rFonts w:ascii="宋体" w:hAnsi="宋体" w:eastAsia="宋体"/>
        <w:color w:val="5F6B78"/>
        <w:sz w:val="18"/>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360" w:lineRule="auto" w:after="100"/>
    </w:pPr>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黑体" w:hAnsi="黑体" w:eastAsia="黑体"/>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黑体" w:hAnsi="黑体" w:eastAsia="黑体"/>
      <w:b/>
      <w:bCs/>
      <w:color w:val="17365D"/>
      <w:sz w:val="30"/>
      <w:szCs w:val="26"/>
    </w:rPr>
  </w:style>
  <w:style w:type="paragraph" w:styleId="Heading3">
    <w:name w:val="heading 3"/>
    <w:basedOn w:val="Normal"/>
    <w:next w:val="Normal"/>
    <w:link w:val="Heading3Char"/>
    <w:uiPriority w:val="9"/>
    <w:unhideWhenUsed/>
    <w:qFormat/>
    <w:rsid w:val="00FC693F"/>
    <w:pPr>
      <w:keepNext/>
      <w:keepLines/>
      <w:spacing w:before="200" w:after="120"/>
      <w:outlineLvl w:val="2"/>
    </w:pPr>
    <w:rPr>
      <w:rFonts w:asciiTheme="majorHAnsi" w:eastAsiaTheme="majorEastAsia" w:hAnsiTheme="majorHAnsi" w:cstheme="majorBidi" w:ascii="黑体" w:hAnsi="黑体" w:eastAsia="黑体"/>
      <w:b/>
      <w:bCs/>
      <w:color w:val="17365D"/>
      <w:sz w:val="26"/>
    </w:rPr>
  </w:style>
  <w:style w:type="paragraph" w:styleId="Heading4">
    <w:name w:val="heading 4"/>
    <w:basedOn w:val="Normal"/>
    <w:next w:val="Normal"/>
    <w:link w:val="Heading4Char"/>
    <w:uiPriority w:val="9"/>
    <w:semiHidden/>
    <w:unhideWhenUsed/>
    <w:qFormat/>
    <w:rsid w:val="00FC693F"/>
    <w:pPr>
      <w:keepNext/>
      <w:keepLines/>
      <w:spacing w:before="200" w:after="120"/>
      <w:outlineLvl w:val="3"/>
    </w:pPr>
    <w:rPr>
      <w:rFonts w:asciiTheme="majorHAnsi" w:eastAsiaTheme="majorEastAsia" w:hAnsiTheme="majorHAnsi" w:cstheme="majorBidi" w:ascii="黑体" w:hAnsi="黑体" w:eastAsia="黑体"/>
      <w:b/>
      <w:bCs/>
      <w:i/>
      <w:iCs/>
      <w:color w:val="17365D"/>
      <w:sz w:val="24"/>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Legal_Language_Reviewer_V1</dc:title>
  <dc:subject>楠木厅12号排除妨害纠纷专题材料</dc:subject>
  <dc:creator>案件代理工作组</dc:creator>
  <cp:keywords>排除妨害; 城市更新; 潮宗街; 房屋安全; 调解</cp:keywords>
  <dc:description>generated by python-docx</dc:description>
  <cp:lastModifiedBy/>
  <cp:revision>1</cp:revision>
  <dcterms:created xsi:type="dcterms:W3CDTF">2013-12-23T23:15:00Z</dcterms:created>
  <dcterms:modified xsi:type="dcterms:W3CDTF">2013-12-23T23:15:00Z</dcterms:modified>
  <cp:category/>
</cp:coreProperties>
</file>