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spacing w:after="360"/>
        <w:jc w:val="center"/>
      </w:pPr>
      <w:r>
        <w:rPr>
          <w:rFonts w:ascii="方正小标宋简体" w:hAnsi="方正小标宋简体" w:eastAsia="方正小标宋简体"/>
          <w:b/>
          <w:color w:val="17365D"/>
          <w:sz w:val="48"/>
        </w:rPr>
        <w:t>Judge Reviewer 独立审查报告（V1）</w:t>
      </w:r>
    </w:p>
    <w:p>
      <w:pPr>
        <w:jc w:val="center"/>
      </w:pPr>
      <w:r>
        <w:rPr>
          <w:rFonts w:ascii="宋体" w:hAnsi="宋体" w:eastAsia="宋体"/>
          <w:color w:val="5F6B78"/>
          <w:sz w:val="24"/>
        </w:rPr>
        <w:t>李运芳诉长沙科棚潮宗街商业管理有限公司排除妨害纠纷案</w:t>
      </w:r>
    </w:p>
    <w:p>
      <w:pPr>
        <w:spacing w:before="2800"/>
        <w:jc w:val="center"/>
      </w:pPr>
      <w:r>
        <w:rPr>
          <w:rFonts w:ascii="宋体" w:hAnsi="宋体" w:eastAsia="宋体"/>
          <w:color w:val="5F6B78"/>
          <w:sz w:val="22"/>
        </w:rPr>
        <w:t>原始材料与官方法源核验 · 2026年8月14日</w:t>
      </w:r>
    </w:p>
    <w:p>
      <w:r>
        <w:br w:type="page"/>
      </w:r>
    </w:p>
    <w:p>
      <w:pPr>
        <w:spacing w:line="360" w:lineRule="auto" w:after="100"/>
        <w:ind w:firstLine="420"/>
      </w:pPr>
      <w:r>
        <w:rPr>
          <w:rFonts w:ascii="宋体" w:hAnsi="宋体" w:eastAsia="宋体"/>
          <w:sz w:val="24"/>
        </w:rPr>
        <w:t>审查角色：一审承办法官 审查对象：现行民事起诉状、证据目录、关键原始材料、事实证据法源矩阵、V1代理意见、Legal Reviewer与Defense Reviewer意见 审查基准日：2026年8月14日</w:t>
      </w:r>
    </w:p>
    <w:p>
      <w:pPr>
        <w:pStyle w:val="Heading1"/>
      </w:pPr>
      <w:r>
        <w:t>一、总体裁判判断</w:t>
      </w:r>
    </w:p>
    <w:p>
      <w:pPr>
        <w:spacing w:line="360" w:lineRule="auto" w:after="100"/>
        <w:ind w:firstLine="420"/>
      </w:pPr>
      <w:r>
        <w:rPr>
          <w:rFonts w:ascii="宋体" w:hAnsi="宋体" w:eastAsia="宋体"/>
          <w:sz w:val="24"/>
        </w:rPr>
        <w:t>V1对案件性质、政策效力、B/C鉴定时间线以及主体适格与实体责任的区分，总体准确。但从一审裁判所要求的证明标准看，当前案件的主要困难并非缺少法律论述，而是缺少足以把科棚与各项具体妨害逐一连接的原始证据。</w:t>
      </w:r>
    </w:p>
    <w:p>
      <w:pPr>
        <w:spacing w:line="360" w:lineRule="auto" w:after="100"/>
        <w:ind w:firstLine="420"/>
      </w:pPr>
      <w:r>
        <w:rPr>
          <w:rFonts w:ascii="宋体" w:hAnsi="宋体" w:eastAsia="宋体"/>
          <w:sz w:val="24"/>
        </w:rPr>
        <w:t>现存材料能够较稳定证明的事实主要是：李运芳对生效行政裁判所载楠木厅12号楼303房具有产权基础；2022年开福棚改投委托同宇公司鉴定，楼栋当时评定为C/Csu；开福棚改投于2023年组织加固，生效裁判记载加固后“现阶段主体结构安全性鉴定等级为B级”；开福棚改投依据2015年批复对楠木厅12号具有特定管理、改造依据；科棚系依法登记的独立法人；2025年纽带公司曾出具一份以“科棚潘勇团队”为受托对象的交易谈判授权文件，但期限和事项均不覆盖2026年鉴定、入户或者施工。</w:t>
      </w:r>
    </w:p>
    <w:p>
      <w:pPr>
        <w:spacing w:line="360" w:lineRule="auto" w:after="100"/>
        <w:ind w:firstLine="420"/>
      </w:pPr>
      <w:r>
        <w:rPr>
          <w:rFonts w:ascii="宋体" w:hAnsi="宋体" w:eastAsia="宋体"/>
          <w:sz w:val="24"/>
        </w:rPr>
        <w:t>现存材料尚不能稳定证明的核心事实是：2026年4月何人进入东301、何人决定或实施钻孔剔凿、其与科棚的劳动或委托关系、科棚是否发出指令或追认、照片所示孔洞的地点和形成时间、生活垃圾清运是否确由科棚发起或协调、“城投”的准确法人、建筑废料来源、排水异常原因、围挡设置及控制主体、当前房屋安全等级，以及东301与权证所载303房的门牌同一性。</w:t>
      </w:r>
    </w:p>
    <w:p>
      <w:pPr>
        <w:spacing w:line="360" w:lineRule="auto" w:after="100"/>
        <w:ind w:firstLine="420"/>
      </w:pPr>
      <w:r>
        <w:rPr>
          <w:rFonts w:ascii="宋体" w:hAnsi="宋体" w:eastAsia="宋体"/>
          <w:sz w:val="24"/>
        </w:rPr>
        <w:t>因此，V1可以作为进一步查明案件的审理框架，但尚不能直接转化为支持原告现有全部诉请的裁判理由。城市更新政策能够说明治理路径和调解空间，不能弥补行为主体、义务来源、因果关系和可执行标准方面的证据缺口。</w:t>
      </w:r>
    </w:p>
    <w:p>
      <w:pPr>
        <w:pStyle w:val="Heading1"/>
      </w:pPr>
      <w:r>
        <w:t>二、对用户指定十四项问题的逐项回答</w:t>
      </w:r>
    </w:p>
    <w:p>
      <w:pPr>
        <w:pStyle w:val="Heading2"/>
      </w:pPr>
      <w:r>
        <w:t>1. 科棚是否具有本案被告主体适格性</w:t>
      </w:r>
    </w:p>
    <w:p>
      <w:pPr>
        <w:spacing w:line="360" w:lineRule="auto" w:after="100"/>
        <w:ind w:firstLine="420"/>
      </w:pPr>
      <w:r>
        <w:rPr>
          <w:rFonts w:ascii="宋体" w:hAnsi="宋体" w:eastAsia="宋体"/>
          <w:b/>
          <w:sz w:val="24"/>
        </w:rPr>
        <w:t>结论：科棚具有本案被告主体适格性，但该判断不预断其应当承担任何一项实体责任。置信度：82%。</w:t>
      </w:r>
    </w:p>
    <w:p>
      <w:pPr>
        <w:spacing w:line="360" w:lineRule="auto" w:after="100"/>
      </w:pPr>
      <w:r>
        <w:rPr>
          <w:rFonts w:ascii="宋体" w:hAnsi="宋体" w:eastAsia="宋体"/>
          <w:sz w:val="24"/>
        </w:rPr>
        <w:t>原告明确主张科棚直接或者通过相关人员参与2026年入户和侵入性检测，并据此请求停止相应行为、修复具体损坏。就该诉讼主张而言，科棚与原告所主张的诉争法律关系具有程序上的直接关联。原告是否已经证明科棚确实实施、组织、指示、帮助或追认相关行为，是实体审理和证明责任问题，而非当然否定其被告主体适格性的理由。</w:t>
      </w:r>
    </w:p>
    <w:p>
      <w:pPr>
        <w:spacing w:line="360" w:lineRule="auto" w:after="100"/>
        <w:ind w:firstLine="420"/>
      </w:pPr>
      <w:r>
        <w:rPr>
          <w:rFonts w:ascii="宋体" w:hAnsi="宋体" w:eastAsia="宋体"/>
          <w:sz w:val="24"/>
        </w:rPr>
        <w:t>但V1不宜以“现有证据和待核线索已经说明科棚与诉争事实存在直接关联”作为主体适格的事实结论。现有报警回执只固定报警行为，孔洞照片不指向行为人，清运生活垃圾及“有权鉴定”的陈述均尚无原始材料，2025年交易谈判授权又不能覆盖2026年行为。较准确的表述应当是：科棚因原告对其提出直接行为主张而具有程序上的被告主体适格性；若原告最终不能完成行为归属、因果关系或义务来源的证明，法律后果是相应实体诉请不予支持，而不是因被告主体不适格驳回起诉。</w:t>
      </w:r>
    </w:p>
    <w:p>
      <w:pPr>
        <w:pStyle w:val="Heading2"/>
      </w:pPr>
      <w:r>
        <w:t>2. 哪些针对科棚的具体实体请求已有充分基础</w:t>
      </w:r>
    </w:p>
    <w:p>
      <w:pPr>
        <w:spacing w:line="360" w:lineRule="auto" w:after="100"/>
        <w:ind w:firstLine="420"/>
      </w:pPr>
      <w:r>
        <w:rPr>
          <w:rFonts w:ascii="宋体" w:hAnsi="宋体" w:eastAsia="宋体"/>
          <w:b/>
          <w:sz w:val="24"/>
        </w:rPr>
        <w:t>结论：以目前项目中可核验的原始材料为限，尚无一项针对科棚的给付或禁止请求达到可以直接支持的充分证明程度。置信度：90%。</w:t>
      </w:r>
    </w:p>
    <w:p>
      <w:pPr>
        <w:spacing w:line="360" w:lineRule="auto" w:after="100"/>
        <w:ind w:firstLine="420"/>
      </w:pPr>
      <w:r>
        <w:rPr>
          <w:rFonts w:ascii="宋体" w:hAnsi="宋体" w:eastAsia="宋体"/>
          <w:sz w:val="24"/>
        </w:rPr>
        <w:t>应当区分“具有请求权规范基础”和“已经完成对科棚的事实证明”：</w:t>
      </w:r>
    </w:p>
    <w:p>
      <w:pPr>
        <w:pStyle w:val="ListNumber"/>
        <w:spacing w:line="360" w:lineRule="auto" w:after="100"/>
      </w:pPr>
      <w:r>
        <w:rPr>
          <w:rFonts w:ascii="宋体" w:hAnsi="宋体" w:eastAsia="宋体"/>
          <w:sz w:val="24"/>
        </w:rPr>
        <w:t>原告对其专有部分和必要共有部分请求排除妨害、修复损坏，具有《民法典》第二百三十六条、第二百三十七条等规范基础；</w:t>
      </w:r>
    </w:p>
    <w:p>
      <w:pPr>
        <w:pStyle w:val="ListNumber"/>
        <w:spacing w:line="360" w:lineRule="auto" w:after="100"/>
      </w:pPr>
      <w:r>
        <w:rPr>
          <w:rFonts w:ascii="宋体" w:hAnsi="宋体" w:eastAsia="宋体"/>
          <w:sz w:val="24"/>
        </w:rPr>
        <w:t>生效裁判及真实旧权证能够支持原告具有产权基础，但东301、303房及旧门牌的同一性仍宜补充登记机关材料；</w:t>
      </w:r>
    </w:p>
    <w:p>
      <w:pPr>
        <w:pStyle w:val="ListNumber"/>
        <w:spacing w:line="360" w:lineRule="auto" w:after="100"/>
      </w:pPr>
      <w:r>
        <w:rPr>
          <w:rFonts w:ascii="宋体" w:hAnsi="宋体" w:eastAsia="宋体"/>
          <w:sz w:val="24"/>
        </w:rPr>
        <w:t>孔洞、剔凿照片能够证明画面中存在一定物理损坏外观，但不能证明拍摄地点、形成时间和行为人；</w:t>
      </w:r>
    </w:p>
    <w:p>
      <w:pPr>
        <w:pStyle w:val="ListNumber"/>
        <w:spacing w:line="360" w:lineRule="auto" w:after="100"/>
      </w:pPr>
      <w:r>
        <w:rPr>
          <w:rFonts w:ascii="宋体" w:hAnsi="宋体" w:eastAsia="宋体"/>
          <w:sz w:val="24"/>
        </w:rPr>
        <w:t>科棚企业登记仅证明其主体身份；2025年交易谈判授权仅证明一项历史授权表示，不证明2026年权限；</w:t>
      </w:r>
    </w:p>
    <w:p>
      <w:pPr>
        <w:pStyle w:val="ListNumber"/>
        <w:spacing w:line="360" w:lineRule="auto" w:after="100"/>
      </w:pPr>
      <w:r>
        <w:rPr>
          <w:rFonts w:ascii="宋体" w:hAnsi="宋体" w:eastAsia="宋体"/>
          <w:sz w:val="24"/>
        </w:rPr>
        <w:t>因而，现阶段尚不能据此判令科棚停止进入、修补孔洞、清理建筑垃圾、恢复排水、拆移围挡或者恢复整栋安全使用功能。</w:t>
      </w:r>
    </w:p>
    <w:p>
      <w:pPr>
        <w:spacing w:line="360" w:lineRule="auto" w:after="100"/>
        <w:ind w:firstLine="420"/>
      </w:pPr>
      <w:r>
        <w:rPr>
          <w:rFonts w:ascii="宋体" w:hAnsi="宋体" w:eastAsia="宋体"/>
          <w:sz w:val="24"/>
        </w:rPr>
        <w:t>如开庭前能够取得公安完整记录、原始视频、2026年鉴定点位及人员资料，并相互印证科棚工作人员或其受指示人员进入东301实施具体孔洞、剔凿，则“停止无合法依据的侵入性行为”和“修复明确点位损坏”会成为最可能获得支持的两项请求。补证后支持概率可分别升至约60%和55%；在当前证据状态下，分别约为25%和15%。</w:t>
      </w:r>
    </w:p>
    <w:p>
      <w:pPr>
        <w:pStyle w:val="Heading2"/>
      </w:pPr>
      <w:r>
        <w:t>3. 哪些请求虽不因科棚主体适格而排除，但实体举证不足</w:t>
      </w:r>
    </w:p>
    <w:p>
      <w:pPr>
        <w:spacing w:line="360" w:lineRule="auto" w:after="100"/>
        <w:ind w:firstLine="420"/>
      </w:pPr>
      <w:r>
        <w:rPr>
          <w:rFonts w:ascii="宋体" w:hAnsi="宋体" w:eastAsia="宋体"/>
          <w:sz w:val="24"/>
        </w:rPr>
        <w:t>现行七项诉请中，第一至第六项均存在不同程度的实体举证不足：</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现行请求</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当前主要缺口</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当前支持概率</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停止进入东301及共有部位</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科棚既往进入、持续或再次侵害危险未被原始证据固定；共有部位不能由一名业主排他控制</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25%</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禁止拆除、控制铁门及出入口等</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原始视频缺失；铁门权属、设置依据、消防影响、现实控制人不明</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15%</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禁止以鉴定、施工等名义在专有及共有部位钻孔、凿墙</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请求过宽；未区分合法必要检测；行为归属和持续危险未证</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20%</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移除围挡、清理垃圾杂物</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设置或控制主体、现状、点位、种类、来源、数量均未闭合；生活垃圾可能已部分清理</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8%—15%</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修复排水并恢复基本通行</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缺管线图、通水试验、破损点、形成时间、科棚行为或管理义务证据</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5%—10%</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修复孔洞、墙体、门窗和通行设施</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照片仅能反映外观；缺地点、前状态、行为主体、因果及修复方案；2022年报告已记载既有电线拆除损伤和大部分门窗拆除</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15%</w:t>
            </w:r>
          </w:p>
        </w:tc>
      </w:tr>
    </w:tbl>
    <w:p>
      <w:pPr>
        <w:spacing w:after="20"/>
      </w:pPr>
    </w:p>
    <w:p>
      <w:pPr>
        <w:spacing w:line="360" w:lineRule="auto" w:after="100"/>
        <w:ind w:firstLine="420"/>
      </w:pPr>
      <w:r>
        <w:rPr>
          <w:rFonts w:ascii="宋体" w:hAnsi="宋体" w:eastAsia="宋体"/>
          <w:sz w:val="24"/>
        </w:rPr>
        <w:t>第七项诉讼费用取决于实体裁判结果，不能独立评价。</w:t>
      </w:r>
    </w:p>
    <w:p>
      <w:pPr>
        <w:spacing w:line="360" w:lineRule="auto" w:after="100"/>
        <w:ind w:firstLine="420"/>
      </w:pPr>
      <w:r>
        <w:rPr>
          <w:rFonts w:ascii="宋体" w:hAnsi="宋体" w:eastAsia="宋体"/>
          <w:sz w:val="24"/>
        </w:rPr>
        <w:t>以上判断并非否认各类妨害可能客观存在，而是认为现有材料尚不能按照高度盖然性标准把相应责任配置给科棚。尤其不能以“科棚主体适格”替代对其每一项实体责任的证明。</w:t>
      </w:r>
    </w:p>
    <w:p>
      <w:pPr>
        <w:pStyle w:val="Heading2"/>
      </w:pPr>
      <w:r>
        <w:t>4. 是否需要追加开福棚改投</w:t>
      </w:r>
    </w:p>
    <w:p>
      <w:pPr>
        <w:spacing w:line="360" w:lineRule="auto" w:after="100"/>
        <w:ind w:firstLine="420"/>
      </w:pPr>
      <w:r>
        <w:rPr>
          <w:rFonts w:ascii="宋体" w:hAnsi="宋体" w:eastAsia="宋体"/>
          <w:b/>
          <w:sz w:val="24"/>
        </w:rPr>
        <w:t>分层结论：</w:t>
      </w:r>
    </w:p>
    <w:p>
      <w:pPr>
        <w:pStyle w:val="ListNumber"/>
        <w:spacing w:line="360" w:lineRule="auto" w:after="100"/>
      </w:pPr>
      <w:r>
        <w:rPr>
          <w:rFonts w:ascii="宋体" w:hAnsi="宋体" w:eastAsia="宋体"/>
          <w:sz w:val="24"/>
        </w:rPr>
        <w:t>如果原告仅请求科棚停止无合法依据进入东301，并修复能够证明由科棚或其工作人员直接造成的具体孔洞、剔凿，开福棚改投并非必要共同被告；为查明授权链，可以通知其作为第三人参加，或者向其调查取证。追加为共同被告的必要性约30%。</w:t>
      </w:r>
    </w:p>
    <w:p>
      <w:pPr>
        <w:pStyle w:val="ListNumber"/>
        <w:spacing w:line="360" w:lineRule="auto" w:after="100"/>
      </w:pPr>
      <w:r>
        <w:rPr>
          <w:rFonts w:ascii="宋体" w:hAnsi="宋体" w:eastAsia="宋体"/>
          <w:sz w:val="24"/>
        </w:rPr>
        <w:t>如果原告继续请求清理共有部位建筑废料、恢复共同排水、调整围挡、组织整栋修缮加固或者恢复楼栋安全使用功能，则建议在举证期限内申请追加开福棚改投为共同被告，并对其提出明确、独立的给付请求。追加必要性约88%。</w:t>
      </w:r>
    </w:p>
    <w:p>
      <w:pPr>
        <w:spacing w:line="360" w:lineRule="auto" w:after="100"/>
        <w:ind w:firstLine="420"/>
      </w:pPr>
      <w:r>
        <w:rPr>
          <w:rFonts w:ascii="宋体" w:hAnsi="宋体" w:eastAsia="宋体"/>
          <w:sz w:val="24"/>
        </w:rPr>
        <w:t>理由在于：生效裁判已确认2015年批复在被依法撤销前可以作为开福棚改投对楠木厅12号进行管理、改造的依据；2022年鉴定委托人、2023年加固组织者亦为开福棚改投。广泛恢复请求若缺少其参加，责任主体、履行权限和工程组织能力均可能缺位。反之，开福棚改投的既有地位不能自动转化为科棚权限，也不能据此认定二者承担连带责任。</w:t>
      </w:r>
    </w:p>
    <w:p>
      <w:pPr>
        <w:spacing w:line="360" w:lineRule="auto" w:after="100"/>
        <w:ind w:firstLine="420"/>
      </w:pPr>
      <w:r>
        <w:rPr>
          <w:rFonts w:ascii="宋体" w:hAnsi="宋体" w:eastAsia="宋体"/>
          <w:sz w:val="24"/>
        </w:rPr>
        <w:t>若原告希望法院判令开福棚改投履行清理、维修、加固等义务，原则上应将其列为共同被告并明确诉请；仅列为无独立请求权第三人，不宜替代原告对其提出给付请求和完成相应举证。开福棚改投与科棚的责任应分别审查。</w:t>
      </w:r>
    </w:p>
    <w:p>
      <w:pPr>
        <w:pStyle w:val="Heading2"/>
      </w:pPr>
      <w:r>
        <w:t>5. 是否存在纽带公司等其他共有权人的程序问题</w:t>
      </w:r>
    </w:p>
    <w:p>
      <w:pPr>
        <w:spacing w:line="360" w:lineRule="auto" w:after="100"/>
        <w:ind w:firstLine="420"/>
      </w:pPr>
      <w:r>
        <w:rPr>
          <w:rFonts w:ascii="宋体" w:hAnsi="宋体" w:eastAsia="宋体"/>
          <w:b/>
          <w:sz w:val="24"/>
        </w:rPr>
        <w:t>结论：存在潜在程序风险，但不能笼统认定凡涉及共有部分就必须追加所有其他业主。置信度：80%。</w:t>
      </w:r>
    </w:p>
    <w:p>
      <w:pPr>
        <w:spacing w:line="360" w:lineRule="auto" w:after="100"/>
        <w:ind w:firstLine="420"/>
      </w:pPr>
      <w:r>
        <w:rPr>
          <w:rFonts w:ascii="宋体" w:hAnsi="宋体" w:eastAsia="宋体"/>
          <w:sz w:val="24"/>
        </w:rPr>
        <w:t>应作三层区分：</w:t>
      </w:r>
    </w:p>
    <w:p>
      <w:pPr>
        <w:pStyle w:val="ListNumber"/>
        <w:spacing w:line="360" w:lineRule="auto" w:after="100"/>
      </w:pPr>
      <w:r>
        <w:rPr>
          <w:rFonts w:ascii="宋体" w:hAnsi="宋体" w:eastAsia="宋体"/>
          <w:sz w:val="24"/>
        </w:rPr>
        <w:t>东301专有部分的进入、钻孔和局部损坏，原告可以单独起诉，不需要纽带公司参加；</w:t>
      </w:r>
    </w:p>
    <w:p>
      <w:pPr>
        <w:pStyle w:val="ListNumber"/>
        <w:spacing w:line="360" w:lineRule="auto" w:after="100"/>
      </w:pPr>
      <w:r>
        <w:rPr>
          <w:rFonts w:ascii="宋体" w:hAnsi="宋体" w:eastAsia="宋体"/>
          <w:sz w:val="24"/>
        </w:rPr>
        <w:t>对无权堵塞原告必要通道、妨碍其行使共有权的具体行为，原告原则上可以依据《民法典》第二百七十三条、第二百八十七条及建筑物区分所有权司法解释第十四条单独请求保护，法院可根据裁判影响通知其他业主陈述意见；</w:t>
      </w:r>
    </w:p>
    <w:p>
      <w:pPr>
        <w:pStyle w:val="ListNumber"/>
        <w:spacing w:line="360" w:lineRule="auto" w:after="100"/>
      </w:pPr>
      <w:r>
        <w:rPr>
          <w:rFonts w:ascii="宋体" w:hAnsi="宋体" w:eastAsia="宋体"/>
          <w:sz w:val="24"/>
        </w:rPr>
        <w:t>对共有排水系统整体重构、承重结构整体加固、公共出入口重新设置、拆除共有铁门、原拆原建等重大共有事项，应核实全部权利人并审查《民法典》第二百七十八条的业主共同决定程序；共有财产权整体受到侵害且裁判会统一处分共有权益时，还需依《民诉法解释》第七十二条处理其他共有权人的共同诉讼地位。</w:t>
      </w:r>
    </w:p>
    <w:p>
      <w:pPr>
        <w:spacing w:line="360" w:lineRule="auto" w:after="100"/>
        <w:ind w:firstLine="420"/>
      </w:pPr>
      <w:r>
        <w:rPr>
          <w:rFonts w:ascii="宋体" w:hAnsi="宋体" w:eastAsia="宋体"/>
          <w:sz w:val="24"/>
        </w:rPr>
        <w:t>目前尚未取得整栋楼最新登记簿，亦未核实湖南纽带商贸管理有限公司对五楼的登记权利。法院不应先行认定纽带必然为必要共同诉讼人，但应责令原告补充权利人清单并明确每项请求究竟属于个别权利保护还是共有系统整体改造。对后者，在程序主体未补齐前不宜作出实体给付判决。</w:t>
      </w:r>
    </w:p>
    <w:p>
      <w:pPr>
        <w:pStyle w:val="Heading2"/>
      </w:pPr>
      <w:r>
        <w:t>6. 科棚协调“城投”清理生活垃圾对法官心证影响多大</w:t>
      </w:r>
    </w:p>
    <w:p>
      <w:pPr>
        <w:spacing w:line="360" w:lineRule="auto" w:after="100"/>
        <w:ind w:firstLine="420"/>
      </w:pPr>
      <w:r>
        <w:rPr>
          <w:rFonts w:ascii="宋体" w:hAnsi="宋体" w:eastAsia="宋体"/>
          <w:b/>
          <w:sz w:val="24"/>
        </w:rPr>
        <w:t>当前材料状态下：心证影响约10/100。</w:t>
      </w:r>
      <w:r>
        <w:rPr>
          <w:rFonts w:ascii="宋体" w:hAnsi="宋体" w:eastAsia="宋体"/>
          <w:sz w:val="24"/>
        </w:rPr>
        <w:t>项目中尚无清运通知、工作群、派工单、付款、实施法人说明和清运前后影像，2026年4月29日文字稿又明确标注为“草稿/待核对”，不能替代原始视听资料。</w:t>
      </w:r>
    </w:p>
    <w:p>
      <w:pPr>
        <w:spacing w:line="360" w:lineRule="auto" w:after="100"/>
        <w:ind w:firstLine="420"/>
      </w:pPr>
      <w:r>
        <w:rPr>
          <w:rFonts w:ascii="宋体" w:hAnsi="宋体" w:eastAsia="宋体"/>
          <w:sz w:val="24"/>
        </w:rPr>
        <w:t>若该事实由原始电子数据、清运实施主体说明和前后影像完整证实，其证明价值应分项评价：</w:t>
      </w:r>
    </w:p>
    <w:tbl>
      <w:tblPr>
        <w:tblW w:type="auto" w:w="0"/>
        <w:jc w:val="center"/>
        <w:tblLayout w:type="autofit"/>
        <w:tblLook w:firstColumn="1" w:firstRow="1" w:lastColumn="0" w:lastRow="0" w:noHBand="0" w:noVBand="1" w:val="04A0"/>
      </w:tblPr>
      <w:tblGrid>
        <w:gridCol w:w="4479"/>
        <w:gridCol w:w="4479"/>
      </w:tblGrid>
      <w:tr>
        <w:trPr>
          <w:tblHeader/>
        </w:trPr>
        <w:tc>
          <w:tcPr>
            <w:tcW w:type="dxa" w:w="447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待证问题</w:t>
            </w:r>
          </w:p>
        </w:tc>
        <w:tc>
          <w:tcPr>
            <w:tcW w:type="dxa" w:w="4479"/>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证明价值</w:t>
            </w:r>
          </w:p>
        </w:tc>
      </w:tr>
      <w:tr>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科棚具有本案被告主体适格性的补强</w:t>
            </w:r>
          </w:p>
        </w:tc>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65/100</w:t>
            </w:r>
          </w:p>
        </w:tc>
      </w:tr>
      <w:tr>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科棚现实参与涉案楼栋事务</w:t>
            </w:r>
          </w:p>
        </w:tc>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85/100</w:t>
            </w:r>
          </w:p>
        </w:tc>
      </w:tr>
      <w:tr>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科棚具有一定协调、处置能力</w:t>
            </w:r>
          </w:p>
        </w:tc>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78/100</w:t>
            </w:r>
          </w:p>
        </w:tc>
      </w:tr>
      <w:tr>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科棚系整栋楼法定管理主体</w:t>
            </w:r>
          </w:p>
        </w:tc>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20/100</w:t>
            </w:r>
          </w:p>
        </w:tc>
      </w:tr>
      <w:tr>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科棚承担全部建筑垃圾责任</w:t>
            </w:r>
          </w:p>
        </w:tc>
        <w:tc>
          <w:tcPr>
            <w:tcW w:type="dxa" w:w="4479"/>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10/100</w:t>
            </w:r>
          </w:p>
        </w:tc>
      </w:tr>
      <w:tr>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科棚承担排水、围挡及全部历史损坏责任</w:t>
            </w:r>
          </w:p>
        </w:tc>
        <w:tc>
          <w:tcPr>
            <w:tcW w:type="dxa" w:w="4479"/>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10/100</w:t>
            </w:r>
          </w:p>
        </w:tc>
      </w:tr>
    </w:tbl>
    <w:p>
      <w:pPr>
        <w:spacing w:after="20"/>
      </w:pPr>
    </w:p>
    <w:p>
      <w:pPr>
        <w:spacing w:line="360" w:lineRule="auto" w:after="100"/>
        <w:ind w:firstLine="420"/>
      </w:pPr>
      <w:r>
        <w:rPr>
          <w:rFonts w:ascii="宋体" w:hAnsi="宋体" w:eastAsia="宋体"/>
          <w:sz w:val="24"/>
        </w:rPr>
        <w:t>清运行为可能源于善意协调、项目合作、一次性委托、业主请求或其他原因。它既不构成对全部责任的自认，也不能证明生活垃圾与建筑垃圾具有同一来源。法官会把它用于判断科棚并非完全缺席楼栋现实事务，并据此询问其协调依据；不会仅凭该行为判令科棚承担楼栋级治理义务。</w:t>
      </w:r>
    </w:p>
    <w:p>
      <w:pPr>
        <w:pStyle w:val="Heading2"/>
      </w:pPr>
      <w:r>
        <w:t>7. “主张有权鉴定”与诉后垃圾治理结合后，是否需要科棚说明授权链</w:t>
      </w:r>
    </w:p>
    <w:p>
      <w:pPr>
        <w:spacing w:line="360" w:lineRule="auto" w:after="100"/>
        <w:ind w:firstLine="420"/>
      </w:pPr>
      <w:r>
        <w:rPr>
          <w:rFonts w:ascii="宋体" w:hAnsi="宋体" w:eastAsia="宋体"/>
          <w:b/>
          <w:sz w:val="24"/>
        </w:rPr>
        <w:t>结论：若两项事实经原始证据证实，要求科棚说明并提交其掌握的权限、委托及履行资料具有高度必要性，必要度90/100；以现有材料为限，调查必要度约55/100。</w:t>
      </w:r>
    </w:p>
    <w:p>
      <w:pPr>
        <w:spacing w:line="360" w:lineRule="auto" w:after="100"/>
        <w:ind w:firstLine="420"/>
      </w:pPr>
      <w:r>
        <w:rPr>
          <w:rFonts w:ascii="宋体" w:hAnsi="宋体" w:eastAsia="宋体"/>
          <w:sz w:val="24"/>
        </w:rPr>
        <w:t>举证顺序必须明确：原告首先应就科棚人员身份、其参与入户或鉴定、作出相关陈述及参与清运达到初步证明程度。科棚承认参与但以合法鉴定、管理、受托或项目权限抗辩时，应就该积极抗辩所依赖的合同、任务文件、委托、派工、付款及权限范围提交证据。不能用“请科棚说明权限”替代原告对科棚参与具体行为的初步证明。</w:t>
      </w:r>
    </w:p>
    <w:p>
      <w:pPr>
        <w:spacing w:line="360" w:lineRule="auto" w:after="100"/>
        <w:ind w:firstLine="420"/>
      </w:pPr>
      <w:r>
        <w:rPr>
          <w:rFonts w:ascii="宋体" w:hAnsi="宋体" w:eastAsia="宋体"/>
          <w:sz w:val="24"/>
        </w:rPr>
        <w:t>权限链应分别识别法律关系：如系民事代理，审查代理事项、权限、期限及转委托；如系鉴定委托、承揽施工、劳动任务、项目管理或行政协助，应分别审查对应合同、任务文件、行政决定和责任规则。无论属于何种关系，均应查明是否包括东301专有部分，是否包括钻孔、凿墙和取样，是否有通知、点位、必要性及事后修复安排。</w:t>
      </w:r>
    </w:p>
    <w:p>
      <w:pPr>
        <w:spacing w:line="360" w:lineRule="auto" w:after="100"/>
        <w:ind w:firstLine="420"/>
      </w:pPr>
      <w:r>
        <w:rPr>
          <w:rFonts w:ascii="宋体" w:hAnsi="宋体" w:eastAsia="宋体"/>
          <w:sz w:val="24"/>
        </w:rPr>
        <w:t>如经书证提出命令，科棚无正当理由拒不提交其实际控制且与争议事实直接相关的书证，法院可依法评价相应证明妨碍；但该后果必须建立在具体书证、控制关系和待证事实明确的基础上，不能实施无范围的探索式举证。</w:t>
      </w:r>
    </w:p>
    <w:p>
      <w:pPr>
        <w:pStyle w:val="Heading2"/>
      </w:pPr>
      <w:r>
        <w:t>8. 是否需要现场勘验</w:t>
      </w:r>
    </w:p>
    <w:p>
      <w:pPr>
        <w:spacing w:line="360" w:lineRule="auto" w:after="100"/>
        <w:ind w:firstLine="420"/>
      </w:pPr>
      <w:r>
        <w:rPr>
          <w:rFonts w:ascii="宋体" w:hAnsi="宋体" w:eastAsia="宋体"/>
          <w:b/>
          <w:sz w:val="24"/>
        </w:rPr>
        <w:t>结论：需要，优先级92/100。</w:t>
      </w:r>
    </w:p>
    <w:p>
      <w:pPr>
        <w:spacing w:line="360" w:lineRule="auto" w:after="100"/>
        <w:ind w:firstLine="420"/>
      </w:pPr>
      <w:r>
        <w:rPr>
          <w:rFonts w:ascii="宋体" w:hAnsi="宋体" w:eastAsia="宋体"/>
          <w:sz w:val="24"/>
        </w:rPr>
        <w:t>现场勘验是当前最具性价比的证据措施，可以固定：</w:t>
      </w:r>
    </w:p>
    <w:p>
      <w:pPr>
        <w:pStyle w:val="ListNumber"/>
        <w:spacing w:line="360" w:lineRule="auto" w:after="100"/>
      </w:pPr>
      <w:r>
        <w:rPr>
          <w:rFonts w:ascii="宋体" w:hAnsi="宋体" w:eastAsia="宋体"/>
          <w:sz w:val="24"/>
        </w:rPr>
        <w:t>东301与登记房屋、楼层和房号的空间对应；</w:t>
      </w:r>
    </w:p>
    <w:p>
      <w:pPr>
        <w:pStyle w:val="ListNumber"/>
        <w:spacing w:line="360" w:lineRule="auto" w:after="100"/>
      </w:pPr>
      <w:r>
        <w:rPr>
          <w:rFonts w:ascii="宋体" w:hAnsi="宋体" w:eastAsia="宋体"/>
          <w:sz w:val="24"/>
        </w:rPr>
        <w:t>孔洞、剔凿、开槽的具体位置、数量、尺寸及是否位于承重构件；</w:t>
      </w:r>
    </w:p>
    <w:p>
      <w:pPr>
        <w:pStyle w:val="ListNumber"/>
        <w:spacing w:line="360" w:lineRule="auto" w:after="100"/>
      </w:pPr>
      <w:r>
        <w:rPr>
          <w:rFonts w:ascii="宋体" w:hAnsi="宋体" w:eastAsia="宋体"/>
          <w:sz w:val="24"/>
        </w:rPr>
        <w:t>生活垃圾、建筑废料和施工残留的现存位置、种类、数量；</w:t>
      </w:r>
    </w:p>
    <w:p>
      <w:pPr>
        <w:pStyle w:val="ListNumber"/>
        <w:spacing w:line="360" w:lineRule="auto" w:after="100"/>
      </w:pPr>
      <w:r>
        <w:rPr>
          <w:rFonts w:ascii="宋体" w:hAnsi="宋体" w:eastAsia="宋体"/>
          <w:sz w:val="24"/>
        </w:rPr>
        <w:t>排水管线、明显破损或堵塞点及简易通水情况；</w:t>
      </w:r>
    </w:p>
    <w:p>
      <w:pPr>
        <w:pStyle w:val="ListNumber"/>
        <w:spacing w:line="360" w:lineRule="auto" w:after="100"/>
      </w:pPr>
      <w:r>
        <w:rPr>
          <w:rFonts w:ascii="宋体" w:hAnsi="宋体" w:eastAsia="宋体"/>
          <w:sz w:val="24"/>
        </w:rPr>
        <w:t>围挡、锁闭、铁门、通行路线、通行净宽和替代通道；</w:t>
      </w:r>
    </w:p>
    <w:p>
      <w:pPr>
        <w:pStyle w:val="ListNumber"/>
        <w:spacing w:line="360" w:lineRule="auto" w:after="100"/>
      </w:pPr>
      <w:r>
        <w:rPr>
          <w:rFonts w:ascii="宋体" w:hAnsi="宋体" w:eastAsia="宋体"/>
          <w:sz w:val="24"/>
        </w:rPr>
        <w:t>各方对具体设施的控制状态和现场陈述。</w:t>
      </w:r>
    </w:p>
    <w:p>
      <w:pPr>
        <w:spacing w:line="360" w:lineRule="auto" w:after="100"/>
        <w:ind w:firstLine="420"/>
      </w:pPr>
      <w:r>
        <w:rPr>
          <w:rFonts w:ascii="宋体" w:hAnsi="宋体" w:eastAsia="宋体"/>
          <w:sz w:val="24"/>
        </w:rPr>
        <w:t>勘验前应责令原告提交点位清单和简图，通知科棚、拟参加的开福棚改投及必要权利人到场，对争议点编号、测量、拍照并由各方签认。必要时邀请排水或结构专业人员提供现场技术辅助。</w:t>
      </w:r>
    </w:p>
    <w:p>
      <w:pPr>
        <w:spacing w:line="360" w:lineRule="auto" w:after="100"/>
        <w:ind w:firstLine="420"/>
      </w:pPr>
      <w:r>
        <w:rPr>
          <w:rFonts w:ascii="宋体" w:hAnsi="宋体" w:eastAsia="宋体"/>
          <w:sz w:val="24"/>
        </w:rPr>
        <w:t>但勘验只能证明勘验时的客观状态，通常不能单独证明历史形成时间和行为主体。它必须与原始视听资料、鉴定点位、施工记录、公安材料和当事人陈述结合。</w:t>
      </w:r>
    </w:p>
    <w:p>
      <w:pPr>
        <w:pStyle w:val="Heading2"/>
      </w:pPr>
      <w:r>
        <w:t>9. 是否需要鉴定</w:t>
      </w:r>
    </w:p>
    <w:p>
      <w:pPr>
        <w:spacing w:line="360" w:lineRule="auto" w:after="100"/>
        <w:ind w:firstLine="420"/>
      </w:pPr>
      <w:r>
        <w:rPr>
          <w:rFonts w:ascii="宋体" w:hAnsi="宋体" w:eastAsia="宋体"/>
          <w:b/>
          <w:sz w:val="24"/>
        </w:rPr>
        <w:t>结论：存在条件性鉴定需要，但不宜在行为主体和争议点位尚未查明前启动整栋楼范围过宽的司法鉴定。总体必要度60/100。</w:t>
      </w:r>
    </w:p>
    <w:p>
      <w:pPr>
        <w:pStyle w:val="ListNumber"/>
        <w:spacing w:line="360" w:lineRule="auto" w:after="100"/>
      </w:pPr>
      <w:r>
        <w:rPr>
          <w:rFonts w:ascii="宋体" w:hAnsi="宋体" w:eastAsia="宋体"/>
          <w:b/>
          <w:sz w:val="24"/>
        </w:rPr>
        <w:t>局部损坏及修复方案鉴定：</w:t>
      </w:r>
      <w:r>
        <w:rPr>
          <w:rFonts w:ascii="宋体" w:hAnsi="宋体" w:eastAsia="宋体"/>
          <w:sz w:val="24"/>
        </w:rPr>
        <w:t>若补证能够初步指向科棚，且双方对孔洞是否涉及结构、如何修复及费用存在争议，可以启动。必要度75/100。</w:t>
      </w:r>
    </w:p>
    <w:p>
      <w:pPr>
        <w:pStyle w:val="ListNumber"/>
        <w:spacing w:line="360" w:lineRule="auto" w:after="100"/>
      </w:pPr>
      <w:r>
        <w:rPr>
          <w:rFonts w:ascii="宋体" w:hAnsi="宋体" w:eastAsia="宋体"/>
          <w:b/>
          <w:sz w:val="24"/>
        </w:rPr>
        <w:t>排水检测：</w:t>
      </w:r>
      <w:r>
        <w:rPr>
          <w:rFonts w:ascii="宋体" w:hAnsi="宋体" w:eastAsia="宋体"/>
          <w:sz w:val="24"/>
        </w:rPr>
        <w:t>应先进行现场勘验和通水、管道检测；其性质未必需要正式司法鉴定。若破损原因及修复方案仍有专门争议，再鉴定。必要度70/100。</w:t>
      </w:r>
    </w:p>
    <w:p>
      <w:pPr>
        <w:pStyle w:val="ListNumber"/>
        <w:spacing w:line="360" w:lineRule="auto" w:after="100"/>
      </w:pPr>
      <w:r>
        <w:rPr>
          <w:rFonts w:ascii="宋体" w:hAnsi="宋体" w:eastAsia="宋体"/>
          <w:b/>
          <w:sz w:val="24"/>
        </w:rPr>
        <w:t>当前整栋安全等级鉴定：</w:t>
      </w:r>
      <w:r>
        <w:rPr>
          <w:rFonts w:ascii="宋体" w:hAnsi="宋体" w:eastAsia="宋体"/>
          <w:sz w:val="24"/>
        </w:rPr>
        <w:t>现有生效裁判记载2023年加固后主体结构B级。除非有新的结构异常、合法新报告或具体诉请确需判断当前整体安全，不宜仅为强化城市更新叙事重复鉴定。当前必要度35/100。</w:t>
      </w:r>
    </w:p>
    <w:p>
      <w:pPr>
        <w:pStyle w:val="ListNumber"/>
        <w:spacing w:line="360" w:lineRule="auto" w:after="100"/>
      </w:pPr>
      <w:r>
        <w:rPr>
          <w:rFonts w:ascii="宋体" w:hAnsi="宋体" w:eastAsia="宋体"/>
          <w:b/>
          <w:sz w:val="24"/>
        </w:rPr>
        <w:t>B/Bsu与C/Csu可比性鉴定：</w:t>
      </w:r>
      <w:r>
        <w:rPr>
          <w:rFonts w:ascii="宋体" w:hAnsi="宋体" w:eastAsia="宋体"/>
          <w:sz w:val="24"/>
        </w:rPr>
        <w:t>完整2023年报告尚缺，且现有时间线是2022年C/Csu、2023年加固后主体结构B级，不是“先B后C”。在完整报告取得前没有鉴定前提。该事项更适合调解中的专业审查，当前诉讼必要度25/100。</w:t>
      </w:r>
    </w:p>
    <w:p>
      <w:pPr>
        <w:spacing w:line="360" w:lineRule="auto" w:after="100"/>
        <w:ind w:firstLine="420"/>
      </w:pPr>
      <w:r>
        <w:rPr>
          <w:rFonts w:ascii="宋体" w:hAnsi="宋体" w:eastAsia="宋体"/>
          <w:sz w:val="24"/>
        </w:rPr>
        <w:t>鉴定事项必须服务于具体待证事实，不能以鉴定代替对行为人和法律责任的证明。</w:t>
      </w:r>
    </w:p>
    <w:p>
      <w:pPr>
        <w:pStyle w:val="Heading2"/>
      </w:pPr>
      <w:r>
        <w:t>10. 是否需要法院调查取证或责令提交书证</w:t>
      </w:r>
    </w:p>
    <w:p>
      <w:pPr>
        <w:spacing w:line="360" w:lineRule="auto" w:after="100"/>
        <w:ind w:firstLine="420"/>
      </w:pPr>
      <w:r>
        <w:rPr>
          <w:rFonts w:ascii="宋体" w:hAnsi="宋体" w:eastAsia="宋体"/>
          <w:b/>
          <w:sz w:val="24"/>
        </w:rPr>
        <w:t>结论：需要进行范围明确、分层实施的调查取证，必要度90/100。</w:t>
      </w:r>
    </w:p>
    <w:p>
      <w:pPr>
        <w:spacing w:line="360" w:lineRule="auto" w:after="100"/>
        <w:ind w:firstLine="420"/>
      </w:pPr>
      <w:r>
        <w:rPr>
          <w:rFonts w:ascii="宋体" w:hAnsi="宋体" w:eastAsia="宋体"/>
          <w:sz w:val="24"/>
        </w:rPr>
        <w:t>应按证据持有人区分程序：</w:t>
      </w:r>
    </w:p>
    <w:p>
      <w:pPr>
        <w:pStyle w:val="ListNumber"/>
        <w:spacing w:line="360" w:lineRule="auto" w:after="100"/>
      </w:pPr>
      <w:r>
        <w:rPr>
          <w:rFonts w:ascii="宋体" w:hAnsi="宋体" w:eastAsia="宋体"/>
          <w:b/>
          <w:sz w:val="24"/>
        </w:rPr>
        <w:t>向公安机关调查：</w:t>
      </w:r>
      <w:r>
        <w:rPr>
          <w:rFonts w:ascii="宋体" w:hAnsi="宋体" w:eastAsia="宋体"/>
          <w:sz w:val="24"/>
        </w:rPr>
        <w:t>2026年4月完整110接处警单、报警录音、询问笔录、执法记录仪、现场照片、到场人员身份核验。这是第一优先级。</w:t>
      </w:r>
    </w:p>
    <w:p>
      <w:pPr>
        <w:pStyle w:val="ListNumber"/>
        <w:spacing w:line="360" w:lineRule="auto" w:after="100"/>
      </w:pPr>
      <w:r>
        <w:rPr>
          <w:rFonts w:ascii="宋体" w:hAnsi="宋体" w:eastAsia="宋体"/>
          <w:b/>
          <w:sz w:val="24"/>
        </w:rPr>
        <w:t>向开福棚改投及鉴定机构调查：</w:t>
      </w:r>
      <w:r>
        <w:rPr>
          <w:rFonts w:ascii="宋体" w:hAnsi="宋体" w:eastAsia="宋体"/>
          <w:sz w:val="24"/>
        </w:rPr>
        <w:t>2026年是否存在针对12号的鉴定合同、委托、付款、通知、人员、点位、原始记录和报告；开福棚改投是否向科棚作出具体授权；完整2023年湖南湘力报告及加固设计、施工、验收材料。</w:t>
      </w:r>
    </w:p>
    <w:p>
      <w:pPr>
        <w:pStyle w:val="ListNumber"/>
        <w:spacing w:line="360" w:lineRule="auto" w:after="100"/>
      </w:pPr>
      <w:r>
        <w:rPr>
          <w:rFonts w:ascii="宋体" w:hAnsi="宋体" w:eastAsia="宋体"/>
          <w:b/>
          <w:sz w:val="24"/>
        </w:rPr>
        <w:t>向登记及地名管理机关调查：</w:t>
      </w:r>
      <w:r>
        <w:rPr>
          <w:rFonts w:ascii="宋体" w:hAnsi="宋体" w:eastAsia="宋体"/>
          <w:sz w:val="24"/>
        </w:rPr>
        <w:t>整栋楼最新登记簿、东301与303房及旧门牌对应材料、纽带公司及其他权利人状态。</w:t>
      </w:r>
    </w:p>
    <w:p>
      <w:pPr>
        <w:pStyle w:val="ListNumber"/>
        <w:spacing w:line="360" w:lineRule="auto" w:after="100"/>
      </w:pPr>
      <w:r>
        <w:rPr>
          <w:rFonts w:ascii="宋体" w:hAnsi="宋体" w:eastAsia="宋体"/>
          <w:b/>
          <w:sz w:val="24"/>
        </w:rPr>
        <w:t>针对科棚的书证提出命令：</w:t>
      </w:r>
      <w:r>
        <w:rPr>
          <w:rFonts w:ascii="宋体" w:hAnsi="宋体" w:eastAsia="宋体"/>
          <w:sz w:val="24"/>
        </w:rPr>
        <w:t>仅限其实际控制、名称及待证事实明确的劳动或派工资料、委托合同、付款、工作群、清运联系、成果接收材料。</w:t>
      </w:r>
    </w:p>
    <w:p>
      <w:pPr>
        <w:pStyle w:val="ListNumber"/>
        <w:spacing w:line="360" w:lineRule="auto" w:after="100"/>
      </w:pPr>
      <w:r>
        <w:rPr>
          <w:rFonts w:ascii="宋体" w:hAnsi="宋体" w:eastAsia="宋体"/>
          <w:b/>
          <w:sz w:val="24"/>
        </w:rPr>
        <w:t>城市更新资料：</w:t>
      </w:r>
      <w:r>
        <w:rPr>
          <w:rFonts w:ascii="宋体" w:hAnsi="宋体" w:eastAsia="宋体"/>
          <w:sz w:val="24"/>
        </w:rPr>
        <w:t>项目库、体检清单、“一房/一屋一策”等资料可以用于确定治理和调解主体，但不是判断科棚直接侵权责任的第一顺位证据，不宜因其暂未取得而无限期延缓本案审理。</w:t>
      </w:r>
    </w:p>
    <w:p>
      <w:pPr>
        <w:spacing w:line="360" w:lineRule="auto" w:after="100"/>
        <w:ind w:firstLine="420"/>
      </w:pPr>
      <w:r>
        <w:rPr>
          <w:rFonts w:ascii="宋体" w:hAnsi="宋体" w:eastAsia="宋体"/>
          <w:sz w:val="24"/>
        </w:rPr>
        <w:t>每项调查申请均应写明证据名称、持有人、与待证事实的关系以及不能自行取得的原因，并遵守举证期限。法院不宜以调查职权代替原告对基本事实的举证责任。</w:t>
      </w:r>
    </w:p>
    <w:p>
      <w:pPr>
        <w:pStyle w:val="Heading2"/>
      </w:pPr>
      <w:r>
        <w:t>11. 哪些恢复请求可以由法院直接判决</w:t>
      </w:r>
    </w:p>
    <w:p>
      <w:pPr>
        <w:spacing w:line="360" w:lineRule="auto" w:after="100"/>
        <w:ind w:firstLine="420"/>
      </w:pPr>
      <w:r>
        <w:rPr>
          <w:rFonts w:ascii="宋体" w:hAnsi="宋体" w:eastAsia="宋体"/>
          <w:sz w:val="24"/>
        </w:rPr>
        <w:t>法院可以直接判决的不是抽象城市更新方式，而是在行为、责任主体、因果和履行标准均获证明后的具体民事结果：</w:t>
      </w:r>
    </w:p>
    <w:p>
      <w:pPr>
        <w:pStyle w:val="ListNumber"/>
        <w:spacing w:line="360" w:lineRule="auto" w:after="100"/>
      </w:pPr>
      <w:r>
        <w:rPr>
          <w:rFonts w:ascii="宋体" w:hAnsi="宋体" w:eastAsia="宋体"/>
          <w:sz w:val="24"/>
        </w:rPr>
        <w:t>停止在无法律依据、行政决定、合同权源或产权人同意的情况下进入东301并实施特定侵入性操作；但不得形成排除紧急避险、依法鉴定或必要维修的一般性永久禁令；</w:t>
      </w:r>
    </w:p>
    <w:p>
      <w:pPr>
        <w:pStyle w:val="ListNumber"/>
        <w:spacing w:line="360" w:lineRule="auto" w:after="100"/>
      </w:pPr>
      <w:r>
        <w:rPr>
          <w:rFonts w:ascii="宋体" w:hAnsi="宋体" w:eastAsia="宋体"/>
          <w:sz w:val="24"/>
        </w:rPr>
        <w:t>按勘验或鉴定确认的点位、方案和期限，修复由责任主体造成的具体孔洞、剔凿、开槽或设施损坏；</w:t>
      </w:r>
    </w:p>
    <w:p>
      <w:pPr>
        <w:pStyle w:val="ListNumber"/>
        <w:spacing w:line="360" w:lineRule="auto" w:after="100"/>
      </w:pPr>
      <w:r>
        <w:rPr>
          <w:rFonts w:ascii="宋体" w:hAnsi="宋体" w:eastAsia="宋体"/>
          <w:sz w:val="24"/>
        </w:rPr>
        <w:t>清除由责任主体形成或者在其明确控制、管理范围内的特定建筑废料；</w:t>
      </w:r>
    </w:p>
    <w:p>
      <w:pPr>
        <w:pStyle w:val="ListNumber"/>
        <w:spacing w:line="360" w:lineRule="auto" w:after="100"/>
      </w:pPr>
      <w:r>
        <w:rPr>
          <w:rFonts w:ascii="宋体" w:hAnsi="宋体" w:eastAsia="宋体"/>
          <w:sz w:val="24"/>
        </w:rPr>
        <w:t>修复由责任主体损坏或堵塞的特定排水管段，并以通水试验作为验收；</w:t>
      </w:r>
    </w:p>
    <w:p>
      <w:pPr>
        <w:pStyle w:val="ListNumber"/>
        <w:spacing w:line="360" w:lineRule="auto" w:after="100"/>
      </w:pPr>
      <w:r>
        <w:rPr>
          <w:rFonts w:ascii="宋体" w:hAnsi="宋体" w:eastAsia="宋体"/>
          <w:sz w:val="24"/>
        </w:rPr>
        <w:t>拆移由责任主体设置、控制且无合法依据或明显超出安全必要范围的特定围挡、锁闭或障碍；确有安全风险时，可判令提供明确、持续、安全的替代通道。</w:t>
      </w:r>
    </w:p>
    <w:p>
      <w:pPr>
        <w:spacing w:line="360" w:lineRule="auto" w:after="100"/>
        <w:ind w:firstLine="420"/>
      </w:pPr>
      <w:r>
        <w:rPr>
          <w:rFonts w:ascii="宋体" w:hAnsi="宋体" w:eastAsia="宋体"/>
          <w:sz w:val="24"/>
        </w:rPr>
        <w:t>上述内容在法律类型上可判，但在本案当前证据状态下尚未达到对科棚直接作出相应给付判决的程度。尤其不宜判令科棚使整栋老旧房屋达到全部现行强制性标准，因为这可能超出行为前状态和相当因果关系。</w:t>
      </w:r>
    </w:p>
    <w:p>
      <w:pPr>
        <w:pStyle w:val="Heading2"/>
      </w:pPr>
      <w:r>
        <w:t>12. 哪些事项更适合调解</w:t>
      </w:r>
    </w:p>
    <w:p>
      <w:pPr>
        <w:spacing w:line="360" w:lineRule="auto" w:after="100"/>
        <w:ind w:firstLine="420"/>
      </w:pPr>
      <w:r>
        <w:rPr>
          <w:rFonts w:ascii="宋体" w:hAnsi="宋体" w:eastAsia="宋体"/>
          <w:sz w:val="24"/>
        </w:rPr>
        <w:t>以下事项涉及多产权人、项目实施主体、资金、专业论证和行政审批，原则上更适合在相关主体自愿参加的调解中处理：</w:t>
      </w:r>
    </w:p>
    <w:p>
      <w:pPr>
        <w:pStyle w:val="ListNumber"/>
        <w:spacing w:line="360" w:lineRule="auto" w:after="100"/>
      </w:pPr>
      <w:r>
        <w:rPr>
          <w:rFonts w:ascii="宋体" w:hAnsi="宋体" w:eastAsia="宋体"/>
          <w:sz w:val="24"/>
        </w:rPr>
        <w:t>楠木厅12号整体修缮、加固和完成后复核；</w:t>
      </w:r>
    </w:p>
    <w:p>
      <w:pPr>
        <w:pStyle w:val="ListNumber"/>
        <w:spacing w:line="360" w:lineRule="auto" w:after="100"/>
      </w:pPr>
      <w:r>
        <w:rPr>
          <w:rFonts w:ascii="宋体" w:hAnsi="宋体" w:eastAsia="宋体"/>
          <w:sz w:val="24"/>
        </w:rPr>
        <w:t>形成解决结构、排水、通行、消防和使用功能的“一房/一屋一策”；</w:t>
      </w:r>
    </w:p>
    <w:p>
      <w:pPr>
        <w:pStyle w:val="ListNumber"/>
        <w:spacing w:line="360" w:lineRule="auto" w:after="100"/>
      </w:pPr>
      <w:r>
        <w:rPr>
          <w:rFonts w:ascii="宋体" w:hAnsi="宋体" w:eastAsia="宋体"/>
          <w:sz w:val="24"/>
        </w:rPr>
        <w:t>依法纳入城市更新项目并形成项目实施方案；</w:t>
      </w:r>
    </w:p>
    <w:p>
      <w:pPr>
        <w:pStyle w:val="ListNumber"/>
        <w:spacing w:line="360" w:lineRule="auto" w:after="100"/>
      </w:pPr>
      <w:r>
        <w:rPr>
          <w:rFonts w:ascii="宋体" w:hAnsi="宋体" w:eastAsia="宋体"/>
          <w:sz w:val="24"/>
        </w:rPr>
        <w:t>经业主共同决定、历史文化保护审查、规划和建设审批后实施改建或符合条件的原拆原建；</w:t>
      </w:r>
    </w:p>
    <w:p>
      <w:pPr>
        <w:pStyle w:val="ListNumber"/>
        <w:spacing w:line="360" w:lineRule="auto" w:after="100"/>
      </w:pPr>
      <w:r>
        <w:rPr>
          <w:rFonts w:ascii="宋体" w:hAnsi="宋体" w:eastAsia="宋体"/>
          <w:sz w:val="24"/>
        </w:rPr>
        <w:t>完全自愿的市场化收购、产权置换、商业物业置换或者现金与物业组合方案。</w:t>
      </w:r>
    </w:p>
    <w:p>
      <w:pPr>
        <w:spacing w:line="360" w:lineRule="auto" w:after="100"/>
        <w:ind w:firstLine="420"/>
      </w:pPr>
      <w:r>
        <w:rPr>
          <w:rFonts w:ascii="宋体" w:hAnsi="宋体" w:eastAsia="宋体"/>
          <w:sz w:val="24"/>
        </w:rPr>
        <w:t>政策允许或鼓励上述路径，不等于原告有权要求科棚单独实施。法院调解可以记载当事人自愿承担超出法定责任范围的合同义务，但实际实施主体、相关产权人必须参加；涉及行政审批的，只能约定申请、配合、资料提交、费用承担和审批未获通过时的替代方案，不能以调解协议预先替代行政许可。</w:t>
      </w:r>
    </w:p>
    <w:p>
      <w:pPr>
        <w:pStyle w:val="Heading2"/>
      </w:pPr>
      <w:r>
        <w:t>13. 如果今天必须判决，可能的判决主文是什么</w:t>
      </w:r>
    </w:p>
    <w:p>
      <w:pPr>
        <w:spacing w:line="360" w:lineRule="auto" w:after="100"/>
        <w:ind w:firstLine="420"/>
      </w:pPr>
      <w:r>
        <w:rPr>
          <w:rFonts w:ascii="宋体" w:hAnsi="宋体" w:eastAsia="宋体"/>
          <w:b/>
          <w:sz w:val="24"/>
        </w:rPr>
        <w:t>前提：仅以当前项目中能够核验的原始材料为证据，且庭审中没有出现新的自认、证人、公安记录、原始视听资料、鉴定点位或委托材料。</w:t>
      </w:r>
    </w:p>
    <w:p>
      <w:pPr>
        <w:spacing w:line="360" w:lineRule="auto" w:after="100"/>
        <w:ind w:firstLine="420"/>
      </w:pPr>
      <w:r>
        <w:rPr>
          <w:rFonts w:ascii="宋体" w:hAnsi="宋体" w:eastAsia="宋体"/>
          <w:sz w:val="24"/>
        </w:rPr>
        <w:t>在该前提下，最可能的判决主文为：</w:t>
      </w:r>
    </w:p>
    <w:p>
      <w:pPr>
        <w:spacing w:line="360" w:lineRule="auto" w:after="120" w:before="80"/>
        <w:ind w:left="397" w:right="170" w:firstLine="0"/>
        <w:shd w:fill="EDF2F7"/>
      </w:pPr>
      <w:r>
        <w:rPr>
          <w:rFonts w:ascii="宋体" w:hAnsi="宋体" w:eastAsia="宋体"/>
          <w:color w:val="17365D"/>
          <w:sz w:val="24"/>
        </w:rPr>
        <w:t>一、驳回原告李运芳的全部诉讼请求；</w:t>
      </w:r>
    </w:p>
    <w:p>
      <w:pPr>
        <w:spacing w:line="360" w:lineRule="auto" w:after="120" w:before="80"/>
        <w:ind w:left="397" w:right="170" w:firstLine="0"/>
        <w:shd w:fill="EDF2F7"/>
      </w:pPr>
      <w:r>
        <w:rPr>
          <w:rFonts w:ascii="宋体" w:hAnsi="宋体" w:eastAsia="宋体"/>
          <w:color w:val="17365D"/>
          <w:sz w:val="24"/>
        </w:rPr>
        <w:t>二、本案案件受理费由原告李运芳负担。</w:t>
      </w:r>
    </w:p>
    <w:p>
      <w:pPr>
        <w:spacing w:line="360" w:lineRule="auto" w:after="100"/>
        <w:ind w:firstLine="420"/>
      </w:pPr>
      <w:r>
        <w:rPr>
          <w:rFonts w:ascii="宋体" w:hAnsi="宋体" w:eastAsia="宋体"/>
          <w:sz w:val="24"/>
        </w:rPr>
        <w:t>作出该结果的主要理由不会是科棚不具有被告主体适格性，而是：原告尚未证明科棚实施、组织、指示或者追认被诉入户、钻孔行为；未证明现存废料、排水异常及围挡由科棚形成、控制或负有排除义务；未证明科棚行为与房屋安全状态之间的因果关系；前三项禁止性请求还存在范围过宽及可能妨碍合法安全检查、维修的问题。当前作出全部驳回的概率约72%，部分支持特定停止行为或孔洞修复的概率约18%，其他结果约10%。</w:t>
      </w:r>
    </w:p>
    <w:p>
      <w:pPr>
        <w:spacing w:line="360" w:lineRule="auto" w:after="100"/>
        <w:ind w:firstLine="420"/>
      </w:pPr>
      <w:r>
        <w:rPr>
          <w:rFonts w:ascii="宋体" w:hAnsi="宋体" w:eastAsia="宋体"/>
          <w:sz w:val="24"/>
        </w:rPr>
        <w:t>如开庭前补证形成科棚人员、具体点位、行为指令与损坏之间的闭环，则可能形成的部分支持型主文应当类似：</w:t>
      </w:r>
    </w:p>
    <w:p>
      <w:pPr>
        <w:spacing w:line="360" w:lineRule="auto" w:after="120" w:before="80"/>
        <w:ind w:left="397" w:right="170" w:firstLine="0"/>
        <w:shd w:fill="EDF2F7"/>
      </w:pPr>
      <w:r>
        <w:rPr>
          <w:rFonts w:ascii="宋体" w:hAnsi="宋体" w:eastAsia="宋体"/>
          <w:color w:val="17365D"/>
          <w:sz w:val="24"/>
        </w:rPr>
        <w:t>一、被告长沙科棚潮宗街商业管理有限公司应当停止在未经原告同意且无其他合法权源的情况下进入长沙市开福区楠木厅巷12号东301房，并停止在该房屋内实施钻孔、凿墙、开槽、取样等改变房屋物理状态的行为；</w:t>
      </w:r>
    </w:p>
    <w:p>
      <w:pPr>
        <w:spacing w:line="360" w:lineRule="auto" w:after="120" w:before="80"/>
        <w:ind w:left="397" w:right="170" w:firstLine="0"/>
        <w:shd w:fill="EDF2F7"/>
      </w:pPr>
      <w:r>
        <w:rPr>
          <w:rFonts w:ascii="宋体" w:hAnsi="宋体" w:eastAsia="宋体"/>
          <w:color w:val="17365D"/>
          <w:sz w:val="24"/>
        </w:rPr>
        <w:t>二、被告长沙科棚潮宗街商业管理有限公司于本判决生效之日起三十日内，按照本判决附件所列点位及经审查确认的修复方案，对其工作人员执行工作任务造成的孔洞、剔凿部位完成修复；</w:t>
      </w:r>
    </w:p>
    <w:p>
      <w:pPr>
        <w:spacing w:line="360" w:lineRule="auto" w:after="120" w:before="80"/>
        <w:ind w:left="397" w:right="170" w:firstLine="0"/>
        <w:shd w:fill="EDF2F7"/>
      </w:pPr>
      <w:r>
        <w:rPr>
          <w:rFonts w:ascii="宋体" w:hAnsi="宋体" w:eastAsia="宋体"/>
          <w:color w:val="17365D"/>
          <w:sz w:val="24"/>
        </w:rPr>
        <w:t>三、驳回原告李运芳的其他诉讼请求。</w:t>
      </w:r>
    </w:p>
    <w:p>
      <w:pPr>
        <w:spacing w:line="360" w:lineRule="auto" w:after="100"/>
        <w:ind w:firstLine="420"/>
      </w:pPr>
      <w:r>
        <w:rPr>
          <w:rFonts w:ascii="宋体" w:hAnsi="宋体" w:eastAsia="宋体"/>
          <w:sz w:val="24"/>
        </w:rPr>
        <w:t>该备选主文必须以房屋地址同一性、行为主体、雇佣或指示关系、点位、因果和修复方案均获证明为前提。若实际作业人为独立鉴定或施工承揽人，还须依《民法典》第一千一百九十三条审查科棚是否为定作人及其定作、指示或选任过错，不能仅因科棚联络或在场即判其承担全部责任。</w:t>
      </w:r>
    </w:p>
    <w:p>
      <w:pPr>
        <w:pStyle w:val="Heading2"/>
      </w:pPr>
      <w:r>
        <w:t>14. 如果以实质化解为目标，整体调解方案是什么</w:t>
      </w:r>
    </w:p>
    <w:p>
      <w:pPr>
        <w:spacing w:line="360" w:lineRule="auto" w:after="100"/>
        <w:ind w:firstLine="420"/>
      </w:pPr>
      <w:r>
        <w:rPr>
          <w:rFonts w:ascii="宋体" w:hAnsi="宋体" w:eastAsia="宋体"/>
          <w:b/>
          <w:sz w:val="24"/>
        </w:rPr>
        <w:t>法官首选：由开福棚改投、科棚、原告以及依方案范围需要参加的其他产权人共同参与的“两阶段基础恢复＋专业治理方案”。推动可能性80%，实质解决能力85%，执行难度中等。</w:t>
      </w:r>
    </w:p>
    <w:p>
      <w:pPr>
        <w:pStyle w:val="Heading3"/>
      </w:pPr>
      <w:r>
        <w:t>第一阶段：固定现状并完成基础恢复</w:t>
      </w:r>
    </w:p>
    <w:p>
      <w:pPr>
        <w:pStyle w:val="ListNumber"/>
        <w:spacing w:line="360" w:lineRule="auto" w:after="100"/>
      </w:pPr>
      <w:r>
        <w:rPr>
          <w:rFonts w:ascii="宋体" w:hAnsi="宋体" w:eastAsia="宋体"/>
          <w:sz w:val="24"/>
        </w:rPr>
        <w:t>调解协议签订后十日内，由各方共同现场确认孔洞、废料、排水、围挡、铁门和通行点位，形成附图、照片及数量清单；</w:t>
      </w:r>
    </w:p>
    <w:p>
      <w:pPr>
        <w:pStyle w:val="ListNumber"/>
        <w:spacing w:line="360" w:lineRule="auto" w:after="100"/>
      </w:pPr>
      <w:r>
        <w:rPr>
          <w:rFonts w:ascii="宋体" w:hAnsi="宋体" w:eastAsia="宋体"/>
          <w:sz w:val="24"/>
        </w:rPr>
        <w:t>明确每一事项的履行主体，不使用“科棚及相关单位”“城投方面”等集合称谓；“城投”必须填写准确法人全称和统一社会信用代码；</w:t>
      </w:r>
    </w:p>
    <w:p>
      <w:pPr>
        <w:pStyle w:val="ListNumber"/>
        <w:spacing w:line="360" w:lineRule="auto" w:after="100"/>
      </w:pPr>
      <w:r>
        <w:rPr>
          <w:rFonts w:ascii="宋体" w:hAnsi="宋体" w:eastAsia="宋体"/>
          <w:sz w:val="24"/>
        </w:rPr>
        <w:t>对无争议的生活垃圾、明确建筑废料、具体钻孔及排水故障，约定十五至三十日完成清运、修复和通水；</w:t>
      </w:r>
    </w:p>
    <w:p>
      <w:pPr>
        <w:pStyle w:val="ListNumber"/>
        <w:spacing w:line="360" w:lineRule="auto" w:after="100"/>
      </w:pPr>
      <w:r>
        <w:rPr>
          <w:rFonts w:ascii="宋体" w:hAnsi="宋体" w:eastAsia="宋体"/>
          <w:sz w:val="24"/>
        </w:rPr>
        <w:t>对确有安全必要的围挡，不机械全部拆除，而是明确保留范围、期限、警示和安全替代通道；</w:t>
      </w:r>
    </w:p>
    <w:p>
      <w:pPr>
        <w:pStyle w:val="ListNumber"/>
        <w:spacing w:line="360" w:lineRule="auto" w:after="100"/>
      </w:pPr>
      <w:r>
        <w:rPr>
          <w:rFonts w:ascii="宋体" w:hAnsi="宋体" w:eastAsia="宋体"/>
          <w:sz w:val="24"/>
        </w:rPr>
        <w:t>由双方共同选定或者法院推荐的专业机构对完成结果进行验收，费用承担写明；</w:t>
      </w:r>
    </w:p>
    <w:p>
      <w:pPr>
        <w:pStyle w:val="ListNumber"/>
        <w:spacing w:line="360" w:lineRule="auto" w:after="100"/>
      </w:pPr>
      <w:r>
        <w:rPr>
          <w:rFonts w:ascii="宋体" w:hAnsi="宋体" w:eastAsia="宋体"/>
          <w:sz w:val="24"/>
        </w:rPr>
        <w:t>第一阶段的明确给付义务直接写入民事调解书，约定逾期金、代履行费用承担和申请强制执行条件。</w:t>
      </w:r>
    </w:p>
    <w:p>
      <w:pPr>
        <w:pStyle w:val="Heading3"/>
      </w:pPr>
      <w:r>
        <w:t>第二阶段：形成并实施楼栋治理方案</w:t>
      </w:r>
    </w:p>
    <w:p>
      <w:pPr>
        <w:pStyle w:val="ListNumber"/>
        <w:spacing w:line="360" w:lineRule="auto" w:after="100"/>
      </w:pPr>
      <w:r>
        <w:rPr>
          <w:rFonts w:ascii="宋体" w:hAnsi="宋体" w:eastAsia="宋体"/>
          <w:sz w:val="24"/>
        </w:rPr>
        <w:t>由具有管理、改造依据和实际项目组织能力的开福棚改投或经证据确认的实际实施主体，在六十日内提交楠木厅12号治理方案；科棚仅在其真实合同、受托或运营职责范围内承担联络、配合或履行事项；</w:t>
      </w:r>
    </w:p>
    <w:p>
      <w:pPr>
        <w:pStyle w:val="ListNumber"/>
        <w:spacing w:line="360" w:lineRule="auto" w:after="100"/>
      </w:pPr>
      <w:r>
        <w:rPr>
          <w:rFonts w:ascii="宋体" w:hAnsi="宋体" w:eastAsia="宋体"/>
          <w:sz w:val="24"/>
        </w:rPr>
        <w:t>方案至少明确结构安全、排水、通行、消防、门窗围护、历史保护、使用功能、资金、施工期限和完成后复核；</w:t>
      </w:r>
    </w:p>
    <w:p>
      <w:pPr>
        <w:pStyle w:val="ListNumber"/>
        <w:spacing w:line="360" w:lineRule="auto" w:after="100"/>
      </w:pPr>
      <w:r>
        <w:rPr>
          <w:rFonts w:ascii="宋体" w:hAnsi="宋体" w:eastAsia="宋体"/>
          <w:sz w:val="24"/>
        </w:rPr>
        <w:t>先取得完整2023年B级报告和2026年现状资料。只有专业机构确认标准、对象及范围可比时，才把“不低于可比历史安全状态”作为辅助条件；否则以双方列明的现行适用标准、约定使用功能和复核报告为准；</w:t>
      </w:r>
    </w:p>
    <w:p>
      <w:pPr>
        <w:pStyle w:val="ListNumber"/>
        <w:spacing w:line="360" w:lineRule="auto" w:after="100"/>
      </w:pPr>
      <w:r>
        <w:rPr>
          <w:rFonts w:ascii="宋体" w:hAnsi="宋体" w:eastAsia="宋体"/>
          <w:sz w:val="24"/>
        </w:rPr>
        <w:t>如专业论证认为修缮加固可行，优先约定维修、加固及复核；如认为不合理或不可行，再进入依法改建或原拆原建论证；</w:t>
      </w:r>
    </w:p>
    <w:p>
      <w:pPr>
        <w:pStyle w:val="ListNumber"/>
        <w:spacing w:line="360" w:lineRule="auto" w:after="100"/>
      </w:pPr>
      <w:r>
        <w:rPr>
          <w:rFonts w:ascii="宋体" w:hAnsi="宋体" w:eastAsia="宋体"/>
          <w:sz w:val="24"/>
        </w:rPr>
        <w:t>任何原拆原建均以产权人依法决策、历史文化保护、规划、建设和其他必要审批为前提，明确申请主体、资料提交期限、费用、原址、面积、用途、过渡安置、产权登记及审批不通过时返回修缮加固方案；</w:t>
      </w:r>
    </w:p>
    <w:p>
      <w:pPr>
        <w:pStyle w:val="ListNumber"/>
        <w:spacing w:line="360" w:lineRule="auto" w:after="100"/>
      </w:pPr>
      <w:r>
        <w:rPr>
          <w:rFonts w:ascii="宋体" w:hAnsi="宋体" w:eastAsia="宋体"/>
          <w:sz w:val="24"/>
        </w:rPr>
        <w:t>如各方自愿转入产权彻底解决，可另行约定现金收购、产权置换、商业物业置换或组合方案。政策认可市场化产权整合路径，但不产生强制收购或强制缔约义务。</w:t>
      </w:r>
    </w:p>
    <w:p>
      <w:pPr>
        <w:pStyle w:val="Heading3"/>
      </w:pPr>
      <w:r>
        <w:t>防止“只承诺不履行”的条款要求</w:t>
      </w:r>
    </w:p>
    <w:p>
      <w:pPr>
        <w:spacing w:line="360" w:lineRule="auto" w:after="100"/>
        <w:ind w:firstLine="420"/>
      </w:pPr>
      <w:r>
        <w:rPr>
          <w:rFonts w:ascii="宋体" w:hAnsi="宋体" w:eastAsia="宋体"/>
          <w:sz w:val="24"/>
        </w:rPr>
        <w:t>调解书应当逐项列明：准确履行主体、具体事项、位置和数量、开始及完成日期、费用及税费、审批申请义务、阶段成果、验收机构和标准、临时安全及安置、审批失败的替代方案、逾期责任、代履行费用、分阶段申请执行的条件。不得使用“积极推进有机更新”“争取纳入项目”“各方共同协调”等无法执行的表述代替具体义务。</w:t>
      </w:r>
    </w:p>
    <w:p>
      <w:pPr>
        <w:pStyle w:val="Heading1"/>
      </w:pPr>
      <w:r>
        <w:t>三、法官审理顺序与庭审控制建议</w:t>
      </w:r>
    </w:p>
    <w:p>
      <w:pPr>
        <w:spacing w:line="360" w:lineRule="auto" w:after="100"/>
        <w:ind w:firstLine="420"/>
      </w:pPr>
      <w:r>
        <w:rPr>
          <w:rFonts w:ascii="宋体" w:hAnsi="宋体" w:eastAsia="宋体"/>
          <w:sz w:val="24"/>
        </w:rPr>
        <w:t>本案应按以下顺序审理，避免政策问题覆盖民事证明：</w:t>
      </w:r>
    </w:p>
    <w:p>
      <w:pPr>
        <w:pStyle w:val="ListNumber"/>
        <w:spacing w:line="360" w:lineRule="auto" w:after="100"/>
      </w:pPr>
      <w:r>
        <w:rPr>
          <w:rFonts w:ascii="宋体" w:hAnsi="宋体" w:eastAsia="宋体"/>
          <w:sz w:val="24"/>
        </w:rPr>
        <w:t>核实东301、303房及旧门牌同一性和原告权属；</w:t>
      </w:r>
    </w:p>
    <w:p>
      <w:pPr>
        <w:pStyle w:val="ListNumber"/>
        <w:spacing w:line="360" w:lineRule="auto" w:after="100"/>
      </w:pPr>
      <w:r>
        <w:rPr>
          <w:rFonts w:ascii="宋体" w:hAnsi="宋体" w:eastAsia="宋体"/>
          <w:sz w:val="24"/>
        </w:rPr>
        <w:t>逐人确认2026年现场人员身份、用人或委托关系、进入和具体操作；</w:t>
      </w:r>
    </w:p>
    <w:p>
      <w:pPr>
        <w:pStyle w:val="ListNumber"/>
        <w:spacing w:line="360" w:lineRule="auto" w:after="100"/>
      </w:pPr>
      <w:r>
        <w:rPr>
          <w:rFonts w:ascii="宋体" w:hAnsi="宋体" w:eastAsia="宋体"/>
          <w:sz w:val="24"/>
        </w:rPr>
        <w:t>审查原告是否完成对科棚行为关联的初步证明；</w:t>
      </w:r>
    </w:p>
    <w:p>
      <w:pPr>
        <w:pStyle w:val="ListNumber"/>
        <w:spacing w:line="360" w:lineRule="auto" w:after="100"/>
      </w:pPr>
      <w:r>
        <w:rPr>
          <w:rFonts w:ascii="宋体" w:hAnsi="宋体" w:eastAsia="宋体"/>
          <w:sz w:val="24"/>
        </w:rPr>
        <w:t>如科棚承认参与并提出合法鉴定或管理抗辩，再审查权限来源、范围、必要性和损害最小化；</w:t>
      </w:r>
    </w:p>
    <w:p>
      <w:pPr>
        <w:pStyle w:val="ListNumber"/>
        <w:spacing w:line="360" w:lineRule="auto" w:after="100"/>
      </w:pPr>
      <w:r>
        <w:rPr>
          <w:rFonts w:ascii="宋体" w:hAnsi="宋体" w:eastAsia="宋体"/>
          <w:sz w:val="24"/>
        </w:rPr>
        <w:t>按孔洞、废料、排水、围挡、铁门分别审查现状、行为或控制、因果、履行能力和验收标准；</w:t>
      </w:r>
    </w:p>
    <w:p>
      <w:pPr>
        <w:pStyle w:val="ListNumber"/>
        <w:spacing w:line="360" w:lineRule="auto" w:after="100"/>
      </w:pPr>
      <w:r>
        <w:rPr>
          <w:rFonts w:ascii="宋体" w:hAnsi="宋体" w:eastAsia="宋体"/>
          <w:sz w:val="24"/>
        </w:rPr>
        <w:t>查明2022年C/Csu、2023年加固及B级结论的范围，不将旧C结论写成2026年当前状态；</w:t>
      </w:r>
    </w:p>
    <w:p>
      <w:pPr>
        <w:pStyle w:val="ListNumber"/>
        <w:spacing w:line="360" w:lineRule="auto" w:after="100"/>
      </w:pPr>
      <w:r>
        <w:rPr>
          <w:rFonts w:ascii="宋体" w:hAnsi="宋体" w:eastAsia="宋体"/>
          <w:sz w:val="24"/>
        </w:rPr>
        <w:t>决定开福棚改投和其他共有权人的程序地位；</w:t>
      </w:r>
    </w:p>
    <w:p>
      <w:pPr>
        <w:pStyle w:val="ListNumber"/>
        <w:spacing w:line="360" w:lineRule="auto" w:after="100"/>
      </w:pPr>
      <w:r>
        <w:rPr>
          <w:rFonts w:ascii="宋体" w:hAnsi="宋体" w:eastAsia="宋体"/>
          <w:sz w:val="24"/>
        </w:rPr>
        <w:t>将城市更新政策限定于治理背景、调查线索和调解方案，不作为科棚民事责任的替代依据。</w:t>
      </w:r>
    </w:p>
    <w:p>
      <w:pPr>
        <w:pStyle w:val="Heading1"/>
      </w:pPr>
      <w:r>
        <w:t>四、对V1的主要修改要求</w:t>
      </w:r>
    </w:p>
    <w:p>
      <w:pPr>
        <w:pStyle w:val="ListNumber"/>
        <w:spacing w:line="360" w:lineRule="auto" w:after="100"/>
      </w:pPr>
      <w:r>
        <w:rPr>
          <w:rFonts w:ascii="宋体" w:hAnsi="宋体" w:eastAsia="宋体"/>
          <w:sz w:val="24"/>
        </w:rPr>
        <w:t>将科棚主体适格建立在原告提出的诉争主张上，删除“现有证据和待核线索至少已经说明直接关联”的过强表述；</w:t>
      </w:r>
    </w:p>
    <w:p>
      <w:pPr>
        <w:pStyle w:val="ListNumber"/>
        <w:spacing w:line="360" w:lineRule="auto" w:after="100"/>
      </w:pPr>
      <w:r>
        <w:rPr>
          <w:rFonts w:ascii="宋体" w:hAnsi="宋体" w:eastAsia="宋体"/>
          <w:sz w:val="24"/>
        </w:rPr>
        <w:t>写明原告首先承担科棚参与、行为及因果关系的本证责任；只有在科棚提出合法权源抗辩后，才进一步评价其对权限材料的举证；</w:t>
      </w:r>
    </w:p>
    <w:p>
      <w:pPr>
        <w:pStyle w:val="ListNumber"/>
        <w:spacing w:line="360" w:lineRule="auto" w:after="100"/>
      </w:pPr>
      <w:r>
        <w:rPr>
          <w:rFonts w:ascii="宋体" w:hAnsi="宋体" w:eastAsia="宋体"/>
          <w:sz w:val="24"/>
        </w:rPr>
        <w:t>正面写入原告及其他产权人的房屋安全使用责任，说明该责任不排除开福棚改投的既有管理改造依据，也不免除任何主体对自身行为的责任；</w:t>
      </w:r>
    </w:p>
    <w:p>
      <w:pPr>
        <w:pStyle w:val="ListNumber"/>
        <w:spacing w:line="360" w:lineRule="auto" w:after="100"/>
      </w:pPr>
      <w:r>
        <w:rPr>
          <w:rFonts w:ascii="宋体" w:hAnsi="宋体" w:eastAsia="宋体"/>
          <w:sz w:val="24"/>
        </w:rPr>
        <w:t>区分科棚工作人员、独立承揽人、共同侵权人和仅提供联络协助的人员，补充《民法典》第一千一百九十三条；</w:t>
      </w:r>
    </w:p>
    <w:p>
      <w:pPr>
        <w:pStyle w:val="ListNumber"/>
        <w:spacing w:line="360" w:lineRule="auto" w:after="100"/>
      </w:pPr>
      <w:r>
        <w:rPr>
          <w:rFonts w:ascii="宋体" w:hAnsi="宋体" w:eastAsia="宋体"/>
          <w:sz w:val="24"/>
        </w:rPr>
        <w:t>收窄现行第一至第三项绝对禁止请求，不对共有部位主张一般排他控制，不阻断依法进行的必要安全检查和维修；</w:t>
      </w:r>
    </w:p>
    <w:p>
      <w:pPr>
        <w:pStyle w:val="ListNumber"/>
        <w:spacing w:line="360" w:lineRule="auto" w:after="100"/>
      </w:pPr>
      <w:r>
        <w:rPr>
          <w:rFonts w:ascii="宋体" w:hAnsi="宋体" w:eastAsia="宋体"/>
          <w:sz w:val="24"/>
        </w:rPr>
        <w:t>将孔洞局部修复作为优先补强的主位请求；建筑废料、排水、围挡按点位和控制主体补证；整栋安全恢复暂列调解或证据齐备后的请求；</w:t>
      </w:r>
    </w:p>
    <w:p>
      <w:pPr>
        <w:pStyle w:val="ListNumber"/>
        <w:spacing w:line="360" w:lineRule="auto" w:after="100"/>
      </w:pPr>
      <w:r>
        <w:rPr>
          <w:rFonts w:ascii="宋体" w:hAnsi="宋体" w:eastAsia="宋体"/>
          <w:sz w:val="24"/>
        </w:rPr>
        <w:t>明确：广泛楼栋级请求下，开福棚改投原则上应作为共同被告而非仅列第三人；</w:t>
      </w:r>
    </w:p>
    <w:p>
      <w:pPr>
        <w:pStyle w:val="ListNumber"/>
        <w:spacing w:line="360" w:lineRule="auto" w:after="100"/>
      </w:pPr>
      <w:r>
        <w:rPr>
          <w:rFonts w:ascii="宋体" w:hAnsi="宋体" w:eastAsia="宋体"/>
          <w:sz w:val="24"/>
        </w:rPr>
        <w:t>按专有部分、个别共有权保护、重大共有事项三层处理纽带等其他业主程序地位；</w:t>
      </w:r>
    </w:p>
    <w:p>
      <w:pPr>
        <w:pStyle w:val="ListNumber"/>
        <w:spacing w:line="360" w:lineRule="auto" w:after="100"/>
      </w:pPr>
      <w:r>
        <w:rPr>
          <w:rFonts w:ascii="宋体" w:hAnsi="宋体" w:eastAsia="宋体"/>
          <w:sz w:val="24"/>
        </w:rPr>
        <w:t>删除签章页后的研究性“法源与政策效力说明”，转为内部附件或证据说明；</w:t>
      </w:r>
    </w:p>
    <w:p>
      <w:pPr>
        <w:pStyle w:val="ListNumber"/>
        <w:spacing w:line="360" w:lineRule="auto" w:after="100"/>
      </w:pPr>
      <w:r>
        <w:rPr>
          <w:rFonts w:ascii="宋体" w:hAnsi="宋体" w:eastAsia="宋体"/>
          <w:sz w:val="24"/>
        </w:rPr>
        <w:t>开庭前正式提交变更、明确诉讼请求申请及点位附件，代理意见本身不能替代诉讼请求变更。</w:t>
      </w:r>
    </w:p>
    <w:p>
      <w:pPr>
        <w:pStyle w:val="Heading1"/>
      </w:pPr>
      <w:r>
        <w:t>五、独立评分</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审查项目</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得分</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法官视角说明</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科棚被告主体适格论证</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84</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程序关联成立，但当前实体证据很弱，措辞需改为以诉争主张为基础。</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对科棚具体责任的事实证明</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42</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缺公安、原始视听、现场人员、委托点位和行为归属证据。</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开福棚改投程序处理</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82</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已识别重要性，但共同被告与第三人的选择需明确。</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共有权人程序处理</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78</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已发现风险，尚需按三层事项细分并补登记。</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科棚—“城投”垃圾证据运用</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88</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证明边界表述克制；原始证据未补前不宜作为正文支柱。</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权限链分析</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80</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调查清单完整，但须写清举证顺序和不同法律关系。</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因果关系</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45</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尚无一项针对科棚形成完整闭环。</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诉请可执行性</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63</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有明确化方向，现行诉请及证据附件仍不足以执行。</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B/C鉴定处理</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95</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时间线和不可比风险处理准确。</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城市更新政策准确度</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93</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定位准确；须继续控制时际效力和具体项目适用事实。</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政策与民事责任边界</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98</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V1最成熟部分。</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法官可接受程度</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76</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诚信、克制，但待查问题多于已证事实。</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直接裁判准备度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55</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若无补证，最可能全部驳回。</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调解方案潜力</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86</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引入开福棚改投及分阶段治理后具备实质化解可能。</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整体法律严谨度</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84</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法律框架较好，事实证明和程序选择仍需实质修订。</w:t>
            </w:r>
          </w:p>
        </w:tc>
      </w:tr>
    </w:tbl>
    <w:p>
      <w:pPr>
        <w:spacing w:after="20"/>
      </w:pPr>
    </w:p>
    <w:p>
      <w:pPr>
        <w:pStyle w:val="Heading1"/>
      </w:pPr>
      <w:r>
        <w:t>六、五个明确结论</w:t>
      </w:r>
    </w:p>
    <w:p>
      <w:pPr>
        <w:pStyle w:val="ListNumber"/>
        <w:spacing w:line="360" w:lineRule="auto" w:after="100"/>
      </w:pPr>
      <w:r>
        <w:rPr>
          <w:rFonts w:ascii="宋体" w:hAnsi="宋体" w:eastAsia="宋体"/>
          <w:b/>
          <w:sz w:val="24"/>
        </w:rPr>
        <w:t>科棚具有本案被告主体适格性，置信度82%；但现有证据不足以证明其对现行六项实体请求承担责任。</w:t>
      </w:r>
    </w:p>
    <w:p>
      <w:pPr>
        <w:pStyle w:val="ListNumber"/>
        <w:spacing w:line="360" w:lineRule="auto" w:after="100"/>
      </w:pPr>
      <w:r>
        <w:rPr>
          <w:rFonts w:ascii="宋体" w:hAnsi="宋体" w:eastAsia="宋体"/>
          <w:b/>
          <w:sz w:val="24"/>
        </w:rPr>
        <w:t>科棚诉后协调清运生活垃圾目前只有当事人陈述，心证价值10/100；如被原始证据完整证实，对主体适格补强价值65/100，对现实参与价值85/100，但对全部建筑垃圾、排水和围挡责任仅约10/100。</w:t>
      </w:r>
    </w:p>
    <w:p>
      <w:pPr>
        <w:pStyle w:val="ListNumber"/>
        <w:spacing w:line="360" w:lineRule="auto" w:after="100"/>
      </w:pPr>
      <w:r>
        <w:rPr>
          <w:rFonts w:ascii="宋体" w:hAnsi="宋体" w:eastAsia="宋体"/>
          <w:b/>
          <w:sz w:val="24"/>
        </w:rPr>
        <w:t>长沙2026年城市更新政策足以支持将抽象“恢复原状”重构为具体排除妨害和恢复相应正常、安全使用功能的治理方向，但不能替代对科棚行为、义务及因果关系的证明。</w:t>
      </w:r>
    </w:p>
    <w:p>
      <w:pPr>
        <w:pStyle w:val="ListNumber"/>
        <w:spacing w:line="360" w:lineRule="auto" w:after="100"/>
      </w:pPr>
      <w:r>
        <w:rPr>
          <w:rFonts w:ascii="宋体" w:hAnsi="宋体" w:eastAsia="宋体"/>
          <w:b/>
          <w:sz w:val="24"/>
        </w:rPr>
        <w:t>在原告维持楼栋共有系统、修缮加固和安全使用功能等广泛请求的条件下，建议追加开福棚改投为共同被告，置信度88%；若仅审理科棚直接进入和局部损坏，则无须追加为共同被告。</w:t>
      </w:r>
    </w:p>
    <w:p>
      <w:pPr>
        <w:pStyle w:val="ListNumber"/>
        <w:spacing w:line="360" w:lineRule="auto" w:after="100"/>
      </w:pPr>
      <w:r>
        <w:rPr>
          <w:rFonts w:ascii="宋体" w:hAnsi="宋体" w:eastAsia="宋体"/>
          <w:b/>
          <w:sz w:val="24"/>
        </w:rPr>
        <w:t>最优裁判主线只有一个：在证据证明范围内，判令停止科棚无合法权源的具体侵入行为并修复其造成的明确点位损坏；最优调解主线只有一个：由开福棚改投、科棚及必要权利人共同参加，先完成垃圾、排水、通行和孔洞基础恢复，再由实际实施主体形成并依法实施可验收的楼栋治理方案。</w:t>
      </w:r>
    </w:p>
    <w:sectPr w:rsidR="00FC693F" w:rsidRPr="0006063C" w:rsidSect="00034616">
      <w:footerReference w:type="default" r:id="rId9"/>
      <w:pgSz w:w="11906" w:h="16838"/>
      <w:pgMar w:top="1474" w:right="1417" w:bottom="1361" w:left="1531"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宋体" w:hAnsi="宋体" w:eastAsia="宋体"/>
        <w:color w:val="5F6B78"/>
        <w:sz w:val="17"/>
      </w:rPr>
      <w:t xml:space="preserve">楠木厅12号案 · 2026年8月核验版  |  </w:t>
    </w:r>
    <w:r>
      <w:rPr>
        <w:rFonts w:ascii="宋体" w:hAnsi="宋体" w:eastAsia="宋体"/>
        <w:color w:val="5F6B78"/>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360" w:lineRule="auto" w:after="100"/>
    </w:pPr>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黑体" w:hAnsi="黑体" w:eastAsia="黑体"/>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黑体" w:hAnsi="黑体" w:eastAsia="黑体"/>
      <w:b/>
      <w:bCs/>
      <w:color w:val="17365D"/>
      <w:sz w:val="30"/>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黑体" w:hAnsi="黑体" w:eastAsia="黑体"/>
      <w:b/>
      <w:bCs/>
      <w:color w:val="17365D"/>
      <w:sz w:val="26"/>
    </w:rPr>
  </w:style>
  <w:style w:type="paragraph" w:styleId="Heading4">
    <w:name w:val="heading 4"/>
    <w:basedOn w:val="Normal"/>
    <w:next w:val="Normal"/>
    <w:link w:val="Heading4Char"/>
    <w:uiPriority w:val="9"/>
    <w:semiHidden/>
    <w:unhideWhenUsed/>
    <w:qFormat/>
    <w:rsid w:val="00FC693F"/>
    <w:pPr>
      <w:keepNext/>
      <w:keepLines/>
      <w:spacing w:before="200" w:after="120"/>
      <w:outlineLvl w:val="3"/>
    </w:pPr>
    <w:rPr>
      <w:rFonts w:asciiTheme="majorHAnsi" w:eastAsiaTheme="majorEastAsia" w:hAnsiTheme="majorHAnsi" w:cstheme="majorBidi" w:ascii="黑体" w:hAnsi="黑体" w:eastAsia="黑体"/>
      <w:b/>
      <w:bCs/>
      <w:i/>
      <w:iCs/>
      <w:color w:val="17365D"/>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Judge_Reviewer_V1</dc:title>
  <dc:subject>楠木厅12号排除妨害纠纷专题材料</dc:subject>
  <dc:creator>案件代理工作组</dc:creator>
  <cp:keywords>排除妨害; 城市更新; 潮宗街; 房屋安全; 调解</cp:keywords>
  <dc:description>generated by python-docx</dc:description>
  <cp:lastModifiedBy/>
  <cp:revision>1</cp:revision>
  <dcterms:created xsi:type="dcterms:W3CDTF">2013-12-23T23:15:00Z</dcterms:created>
  <dcterms:modified xsi:type="dcterms:W3CDTF">2013-12-23T23:15:00Z</dcterms:modified>
  <cp:category/>
</cp:coreProperties>
</file>