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/>
    <w:p/>
    <w:p/>
    <w:p>
      <w:pPr>
        <w:spacing w:after="360"/>
        <w:jc w:val="center"/>
      </w:pPr>
      <w:r>
        <w:rPr>
          <w:rFonts w:ascii="方正小标宋简体" w:hAnsi="方正小标宋简体" w:eastAsia="方正小标宋简体"/>
          <w:b/>
          <w:color w:val="17365D"/>
          <w:sz w:val="48"/>
        </w:rPr>
        <w:t>Final Reviewer V3 放行复核报告</w:t>
      </w:r>
    </w:p>
    <w:p>
      <w:pPr>
        <w:jc w:val="center"/>
      </w:pPr>
      <w:r>
        <w:rPr>
          <w:rFonts w:ascii="宋体" w:hAnsi="宋体" w:eastAsia="宋体"/>
          <w:color w:val="5F6B78"/>
          <w:sz w:val="24"/>
        </w:rPr>
        <w:t>李运芳诉长沙科棚潮宗街商业管理有限公司排除妨害纠纷案</w:t>
      </w:r>
    </w:p>
    <w:p>
      <w:pPr>
        <w:spacing w:before="2800"/>
        <w:jc w:val="center"/>
      </w:pPr>
      <w:r>
        <w:rPr>
          <w:rFonts w:ascii="宋体" w:hAnsi="宋体" w:eastAsia="宋体"/>
          <w:color w:val="5F6B78"/>
          <w:sz w:val="22"/>
        </w:rPr>
        <w:t>原始材料与官方法源核验 · 2026年8月14日</w:t>
      </w:r>
    </w:p>
    <w:p>
      <w:r>
        <w:br w:type="page"/>
      </w:r>
    </w:p>
    <w:p>
      <w:pPr>
        <w:spacing w:line="360" w:lineRule="auto" w:after="100"/>
        <w:ind w:firstLine="420"/>
      </w:pPr>
      <w:r>
        <w:rPr>
          <w:rFonts w:ascii="宋体" w:hAnsi="宋体" w:eastAsia="宋体"/>
          <w:sz w:val="24"/>
        </w:rPr>
        <w:t>复核对象：</w:t>
      </w:r>
    </w:p>
    <w:p>
      <w:pPr>
        <w:pStyle w:val="ListNumber"/>
        <w:spacing w:line="360" w:lineRule="auto" w:after="100"/>
      </w:pPr>
      <w:r>
        <w:rPr>
          <w:rFonts w:ascii="宋体" w:hAnsi="宋体" w:eastAsia="宋体"/>
          <w:sz w:val="24"/>
        </w:rPr>
        <w:t>新版代理意见_长沙城市更新政策综合重构版_V3.md</w:t>
      </w:r>
    </w:p>
    <w:p>
      <w:pPr>
        <w:pStyle w:val="ListNumber"/>
        <w:spacing w:line="360" w:lineRule="auto" w:after="100"/>
      </w:pPr>
      <w:r>
        <w:rPr>
          <w:rFonts w:ascii="宋体" w:hAnsi="宋体" w:eastAsia="宋体"/>
          <w:sz w:val="24"/>
        </w:rPr>
        <w:t>变更明确诉讼请求申请书_建议稿.md</w:t>
      </w:r>
    </w:p>
    <w:p>
      <w:pPr>
        <w:pStyle w:val="ListNumber"/>
        <w:spacing w:line="360" w:lineRule="auto" w:after="100"/>
      </w:pPr>
      <w:r>
        <w:rPr>
          <w:rFonts w:ascii="宋体" w:hAnsi="宋体" w:eastAsia="宋体"/>
          <w:sz w:val="24"/>
        </w:rPr>
        <w:t>损坏点位修复期限与验收附件_待勘验确认稿.md</w:t>
      </w:r>
    </w:p>
    <w:p>
      <w:pPr>
        <w:spacing w:line="360" w:lineRule="auto" w:after="100"/>
        <w:ind w:firstLine="420"/>
      </w:pPr>
      <w:r>
        <w:rPr>
          <w:rFonts w:ascii="宋体" w:hAnsi="宋体" w:eastAsia="宋体"/>
          <w:sz w:val="24"/>
        </w:rPr>
        <w:t>复核基准日：2026年8月14日 复核范围：V2终审提出的七项修改、十五项评分及硬性放行门槛。 评分原则：不因稿件编号已经达到V3而提高分数；区分文书法律质量、程序附件完成度和实体证据强度。</w:t>
      </w:r>
    </w:p>
    <w:p>
      <w:pPr>
        <w:pStyle w:val="Heading1"/>
      </w:pPr>
      <w:r>
        <w:t>一、放行结论</w:t>
      </w:r>
    </w:p>
    <w:p>
      <w:pPr>
        <w:spacing w:line="360" w:lineRule="auto" w:after="100"/>
        <w:ind w:firstLine="420"/>
      </w:pPr>
      <w:r>
        <w:rPr>
          <w:rFonts w:ascii="宋体" w:hAnsi="宋体" w:eastAsia="宋体"/>
          <w:sz w:val="24"/>
        </w:rPr>
        <w:t>V3已经通过法律严谨度、法言法语、主体适格、城市更新政策、政策与民事责任边界及法官说服力六项硬门槛。2022年报告等级已准确更正为Bu、Cu、Cu、Csu；权限来源、权限范围与程序欠缺已改成三个并列审查层次；内部工作语汇大体清除；未提交材料与已提交证据的状态已经在开头说明；窄诉请、修复期限和验收机制已经分别形成建议稿及附件。</w:t>
      </w:r>
    </w:p>
    <w:p>
      <w:pPr>
        <w:spacing w:line="360" w:lineRule="auto" w:after="100"/>
        <w:ind w:firstLine="420"/>
      </w:pPr>
      <w:r>
        <w:rPr>
          <w:rFonts w:ascii="宋体" w:hAnsi="宋体" w:eastAsia="宋体"/>
          <w:sz w:val="24"/>
        </w:rPr>
        <w:t>但V3</w:t>
      </w:r>
      <w:r>
        <w:rPr>
          <w:rFonts w:ascii="宋体" w:hAnsi="宋体" w:eastAsia="宋体"/>
          <w:b/>
          <w:sz w:val="24"/>
        </w:rPr>
        <w:t>尚不具备无条件作为“可直接提交且可以直接执行”的最终文件放行条件</w:t>
      </w:r>
      <w:r>
        <w:rPr>
          <w:rFonts w:ascii="宋体" w:hAnsi="宋体" w:eastAsia="宋体"/>
          <w:sz w:val="24"/>
        </w:rPr>
        <w:t>。唯一未通过的硬指标是诉请可执行性，得分84分。原因不在继续润色，而在附件仍缺现场勘验才能产生的客观参数：P1至P4尚未定位到东301平面图，尺寸、墙体性质、P3是否重复、行为人及与历史损坏的区分均未确认；申请书本身又以“人民法院完成必要现场勘验后”作为明确请求的前提。</w:t>
      </w:r>
    </w:p>
    <w:p>
      <w:pPr>
        <w:spacing w:line="360" w:lineRule="auto" w:after="100"/>
        <w:ind w:firstLine="420"/>
      </w:pPr>
      <w:r>
        <w:rPr>
          <w:rFonts w:ascii="宋体" w:hAnsi="宋体" w:eastAsia="宋体"/>
          <w:sz w:val="24"/>
        </w:rPr>
        <w:t>因此，终审结论分为两层：</w:t>
      </w:r>
    </w:p>
    <w:p>
      <w:pPr>
        <w:pStyle w:val="ListBullet"/>
        <w:spacing w:line="360" w:lineRule="auto" w:after="100"/>
      </w:pPr>
      <w:r>
        <w:rPr>
          <w:rFonts w:ascii="宋体" w:hAnsi="宋体" w:eastAsia="宋体"/>
          <w:b/>
          <w:sz w:val="24"/>
        </w:rPr>
        <w:t>文书法律结构：有条件放行。</w:t>
      </w:r>
      <w:r>
        <w:rPr>
          <w:rFonts w:ascii="宋体" w:hAnsi="宋体" w:eastAsia="宋体"/>
          <w:sz w:val="24"/>
        </w:rPr>
        <w:t>可以据此生成内部定稿及提交前版本。</w:t>
      </w:r>
    </w:p>
    <w:p>
      <w:pPr>
        <w:pStyle w:val="ListBullet"/>
        <w:spacing w:line="360" w:lineRule="auto" w:after="100"/>
      </w:pPr>
      <w:r>
        <w:rPr>
          <w:rFonts w:ascii="宋体" w:hAnsi="宋体" w:eastAsia="宋体"/>
          <w:b/>
          <w:sz w:val="24"/>
        </w:rPr>
        <w:t>当前直接提交状态：不予无条件放行。</w:t>
      </w:r>
      <w:r>
        <w:rPr>
          <w:rFonts w:ascii="宋体" w:hAnsi="宋体" w:eastAsia="宋体"/>
          <w:sz w:val="24"/>
        </w:rPr>
        <w:t>完成门牌同一性证明、现场勘验并将附件由“待确认稿”改为定稿后，诉请可执行性可达到88分；未完成前不得在最终评分中虚构达到85分。</w:t>
      </w:r>
    </w:p>
    <w:p>
      <w:pPr>
        <w:spacing w:line="360" w:lineRule="auto" w:after="100"/>
        <w:ind w:firstLine="420"/>
      </w:pPr>
      <w:r>
        <w:rPr>
          <w:rFonts w:ascii="宋体" w:hAnsi="宋体" w:eastAsia="宋体"/>
          <w:sz w:val="24"/>
        </w:rPr>
        <w:t>按照用户设定的“最多V3”规则，现阶段低分来源应明确标注为证据和现场参数缺口，不再通过继续改写正文掩盖。</w:t>
      </w:r>
    </w:p>
    <w:p>
      <w:pPr>
        <w:pStyle w:val="Heading1"/>
      </w:pPr>
      <w:r>
        <w:t>二、V2终审七项修改的核验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986"/>
        <w:gridCol w:w="2986"/>
        <w:gridCol w:w="2986"/>
      </w:tblGrid>
      <w:tr>
        <w:trPr>
          <w:tblHeader/>
        </w:trPr>
        <w:tc>
          <w:tcPr>
            <w:tcW w:type="dxa" w:w="2986"/>
            <w:vAlign w:val="center"/>
            <w:shd w:fill="17365D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b/>
                <w:color w:val="FFFFFF"/>
                <w:sz w:val="20"/>
              </w:rPr>
              <w:t>V2终审要求</w:t>
            </w:r>
          </w:p>
        </w:tc>
        <w:tc>
          <w:tcPr>
            <w:tcW w:type="dxa" w:w="2986"/>
            <w:vAlign w:val="center"/>
            <w:shd w:fill="17365D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b/>
                <w:color w:val="FFFFFF"/>
                <w:sz w:val="20"/>
              </w:rPr>
              <w:t>V3完成情况</w:t>
            </w:r>
          </w:p>
        </w:tc>
        <w:tc>
          <w:tcPr>
            <w:tcW w:type="dxa" w:w="2986"/>
            <w:vAlign w:val="center"/>
            <w:shd w:fill="17365D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b/>
                <w:color w:val="FFFFFF"/>
                <w:sz w:val="20"/>
              </w:rPr>
              <w:t>复核结论</w:t>
            </w:r>
          </w:p>
        </w:tc>
      </w:tr>
      <w:tr>
        <w:tc>
          <w:tcPr>
            <w:tcW w:type="dxa" w:w="2986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1. 按报告原文更正鉴定等级</w:t>
            </w:r>
          </w:p>
        </w:tc>
        <w:tc>
          <w:tcPr>
            <w:tcW w:type="dxa" w:w="2986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第十节已写明地基基础子单元Bu级、上部承重结构子单元Cu级、围护系统承重部分子单元Cu级、鉴定单元Csu级；并将行政材料所称“C级危房”与报告术语分开</w:t>
            </w:r>
          </w:p>
        </w:tc>
        <w:tc>
          <w:tcPr>
            <w:tcW w:type="dxa" w:w="2986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b/>
                <w:sz w:val="20"/>
              </w:rPr>
              <w:t>完成</w:t>
            </w:r>
          </w:p>
        </w:tc>
      </w:tr>
      <w:tr>
        <w:tc>
          <w:tcPr>
            <w:tcW w:type="dxa" w:w="2986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2. 修正“权源且程序”的条件歧义</w:t>
            </w:r>
          </w:p>
        </w:tc>
        <w:tc>
          <w:tcPr>
            <w:tcW w:type="dxa" w:w="2986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第二、十七节及诉请建议稿均改为“缺乏权限来源、超出权限对象或范围，或者虽有权限但未履行必要程序”；另保留紧急避险及合法治理例外</w:t>
            </w:r>
          </w:p>
        </w:tc>
        <w:tc>
          <w:tcPr>
            <w:tcW w:type="dxa" w:w="2986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b/>
                <w:sz w:val="20"/>
              </w:rPr>
              <w:t>完成</w:t>
            </w:r>
          </w:p>
        </w:tc>
      </w:tr>
      <w:tr>
        <w:tc>
          <w:tcPr>
            <w:tcW w:type="dxa" w:w="2986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3. 清除内部工作语汇</w:t>
            </w:r>
          </w:p>
        </w:tc>
        <w:tc>
          <w:tcPr>
            <w:tcW w:type="dxa" w:w="2986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“本地已发现”“权限发生事实”“劳动或委托”等已基本更正；但第四节第4项“尚未由……原告现已提交的原始电子数据固定”仍宜改为“现有证据中尚无原始电子数据佐证”</w:t>
            </w:r>
          </w:p>
        </w:tc>
        <w:tc>
          <w:tcPr>
            <w:tcW w:type="dxa" w:w="2986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b/>
                <w:sz w:val="20"/>
              </w:rPr>
              <w:t>基本完成，尚有一处提交前文字修正</w:t>
            </w:r>
          </w:p>
        </w:tc>
      </w:tr>
      <w:tr>
        <w:tc>
          <w:tcPr>
            <w:tcW w:type="dxa" w:w="2986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4. 区分已提交证据与案涉现有材料</w:t>
            </w:r>
          </w:p>
        </w:tc>
        <w:tc>
          <w:tcPr>
            <w:tcW w:type="dxa" w:w="2986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开头明确：尚未列入目录的裁判、鉴定报告拟在举证期限内提交并以质证认证为准</w:t>
            </w:r>
          </w:p>
        </w:tc>
        <w:tc>
          <w:tcPr>
            <w:tcW w:type="dxa" w:w="2986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b/>
                <w:sz w:val="20"/>
              </w:rPr>
              <w:t>完成，但正式提交前仍须为所有引用材料核对证据编号</w:t>
            </w:r>
          </w:p>
        </w:tc>
      </w:tr>
      <w:tr>
        <w:tc>
          <w:tcPr>
            <w:tcW w:type="dxa" w:w="2986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5. 形成可执行诉请及点位附件</w:t>
            </w:r>
          </w:p>
        </w:tc>
        <w:tc>
          <w:tcPr>
            <w:tcW w:type="dxa" w:w="2986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已形成三项窄诉请、30日期限、结构安全专业方案条件、P1至P4点位表、修复和验收规则</w:t>
            </w:r>
          </w:p>
        </w:tc>
        <w:tc>
          <w:tcPr>
            <w:tcW w:type="dxa" w:w="2986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b/>
                <w:sz w:val="20"/>
              </w:rPr>
              <w:t>部分完成；点位、尺寸、墙体性质、行为归属仍待勘验，当前附件不能作为执行定稿</w:t>
            </w:r>
          </w:p>
        </w:tc>
      </w:tr>
      <w:tr>
        <w:tc>
          <w:tcPr>
            <w:tcW w:type="dxa" w:w="2986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6. 将补证工作与法律意见适当分卷</w:t>
            </w:r>
          </w:p>
        </w:tc>
        <w:tc>
          <w:tcPr>
            <w:tcW w:type="dxa" w:w="2986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已另行形成补证、诉请和点位附件；V3正文仍保留主要证明边界，但篇幅和语气可接受</w:t>
            </w:r>
          </w:p>
        </w:tc>
        <w:tc>
          <w:tcPr>
            <w:tcW w:type="dxa" w:w="2986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b/>
                <w:sz w:val="20"/>
              </w:rPr>
              <w:t>完成</w:t>
            </w:r>
          </w:p>
        </w:tc>
      </w:tr>
      <w:tr>
        <w:tc>
          <w:tcPr>
            <w:tcW w:type="dxa" w:w="2986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7. 落实开福棚改投程序选择</w:t>
            </w:r>
          </w:p>
        </w:tc>
        <w:tc>
          <w:tcPr>
            <w:tcW w:type="dxa" w:w="2986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V3选择窄诉请路径，不把开福棚改投列为共同被告；对广泛恢复请求明确须另行追加并分列义务</w:t>
            </w:r>
          </w:p>
        </w:tc>
        <w:tc>
          <w:tcPr>
            <w:tcW w:type="dxa" w:w="2986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b/>
                <w:sz w:val="20"/>
              </w:rPr>
              <w:t>完成</w:t>
            </w:r>
          </w:p>
        </w:tc>
      </w:tr>
    </w:tbl>
    <w:p>
      <w:pPr>
        <w:spacing w:after="20"/>
      </w:pPr>
    </w:p>
    <w:p>
      <w:pPr>
        <w:pStyle w:val="Heading1"/>
      </w:pPr>
      <w:r>
        <w:t>三、三个文件的具体复核</w:t>
      </w:r>
    </w:p>
    <w:p>
      <w:pPr>
        <w:pStyle w:val="Heading2"/>
      </w:pPr>
      <w:r>
        <w:t>（一）V3代理意见</w:t>
      </w:r>
    </w:p>
    <w:p>
      <w:pPr>
        <w:spacing w:line="360" w:lineRule="auto" w:after="100"/>
        <w:ind w:firstLine="420"/>
      </w:pPr>
      <w:r>
        <w:rPr>
          <w:rFonts w:ascii="宋体" w:hAnsi="宋体" w:eastAsia="宋体"/>
          <w:sz w:val="24"/>
        </w:rPr>
        <w:t>优点：</w:t>
      </w:r>
    </w:p>
    <w:p>
      <w:pPr>
        <w:pStyle w:val="ListNumber"/>
        <w:spacing w:line="360" w:lineRule="auto" w:after="100"/>
      </w:pPr>
      <w:r>
        <w:rPr>
          <w:rFonts w:ascii="宋体" w:hAnsi="宋体" w:eastAsia="宋体"/>
          <w:sz w:val="24"/>
        </w:rPr>
        <w:t>技术评级表述已经与鉴定报告原文一致；</w:t>
      </w:r>
    </w:p>
    <w:p>
      <w:pPr>
        <w:pStyle w:val="ListNumber"/>
        <w:spacing w:line="360" w:lineRule="auto" w:after="100"/>
      </w:pPr>
      <w:r>
        <w:rPr>
          <w:rFonts w:ascii="宋体" w:hAnsi="宋体" w:eastAsia="宋体"/>
          <w:sz w:val="24"/>
        </w:rPr>
        <w:t>2022年Csu与2023年“主体结构安全性B级”不再被直接比较；</w:t>
      </w:r>
    </w:p>
    <w:p>
      <w:pPr>
        <w:pStyle w:val="ListNumber"/>
        <w:spacing w:line="360" w:lineRule="auto" w:after="100"/>
      </w:pPr>
      <w:r>
        <w:rPr>
          <w:rFonts w:ascii="宋体" w:hAnsi="宋体" w:eastAsia="宋体"/>
          <w:sz w:val="24"/>
        </w:rPr>
        <w:t>政策不溯及评价4月行为，同时可以作为后续治理及调解背景；</w:t>
      </w:r>
    </w:p>
    <w:p>
      <w:pPr>
        <w:pStyle w:val="ListNumber"/>
        <w:spacing w:line="360" w:lineRule="auto" w:after="100"/>
      </w:pPr>
      <w:r>
        <w:rPr>
          <w:rFonts w:ascii="宋体" w:hAnsi="宋体" w:eastAsia="宋体"/>
          <w:sz w:val="24"/>
        </w:rPr>
        <w:t>科棚主体适格、直接行为责任、承揽责任、管理职责和整栋治理义务已经分开；</w:t>
      </w:r>
    </w:p>
    <w:p>
      <w:pPr>
        <w:pStyle w:val="ListNumber"/>
        <w:spacing w:line="360" w:lineRule="auto" w:after="100"/>
      </w:pPr>
      <w:r>
        <w:rPr>
          <w:rFonts w:ascii="宋体" w:hAnsi="宋体" w:eastAsia="宋体"/>
          <w:sz w:val="24"/>
        </w:rPr>
        <w:t>开福棚改投参加诉讼和其他共有权人程序采用窄诉请/广诉请分层；</w:t>
      </w:r>
    </w:p>
    <w:p>
      <w:pPr>
        <w:pStyle w:val="ListNumber"/>
        <w:spacing w:line="360" w:lineRule="auto" w:after="100"/>
      </w:pPr>
      <w:r>
        <w:rPr>
          <w:rFonts w:ascii="宋体" w:hAnsi="宋体" w:eastAsia="宋体"/>
          <w:sz w:val="24"/>
        </w:rPr>
        <w:t>裁判结果和调解路径边界清楚。</w:t>
      </w:r>
    </w:p>
    <w:p>
      <w:pPr>
        <w:spacing w:line="360" w:lineRule="auto" w:after="100"/>
        <w:ind w:firstLine="420"/>
      </w:pPr>
      <w:r>
        <w:rPr>
          <w:rFonts w:ascii="宋体" w:hAnsi="宋体" w:eastAsia="宋体"/>
          <w:sz w:val="24"/>
        </w:rPr>
        <w:t>提交前仍需处理：</w:t>
      </w:r>
    </w:p>
    <w:p>
      <w:pPr>
        <w:pStyle w:val="ListNumber"/>
        <w:spacing w:line="360" w:lineRule="auto" w:after="100"/>
      </w:pPr>
      <w:r>
        <w:rPr>
          <w:rFonts w:ascii="宋体" w:hAnsi="宋体" w:eastAsia="宋体"/>
          <w:sz w:val="24"/>
        </w:rPr>
        <w:t>第四节第4项改为“据原告陈述，科棚方面人员曾主张有权进行危房鉴定；现有证据中尚无原始电子数据佐证，该事实应结合公安材料、原始录音录像或者被告当庭陈述核实”。</w:t>
      </w:r>
    </w:p>
    <w:p>
      <w:pPr>
        <w:pStyle w:val="ListNumber"/>
        <w:spacing w:line="360" w:lineRule="auto" w:after="100"/>
      </w:pPr>
      <w:r>
        <w:rPr>
          <w:rFonts w:ascii="宋体" w:hAnsi="宋体" w:eastAsia="宋体"/>
          <w:sz w:val="24"/>
        </w:rPr>
        <w:t>正式稿中所有“原告提交的”材料均应附本案证据目录编号；尚未提交的应在举证期限内实际提交，不能只保留“拟提交”表述。</w:t>
      </w:r>
    </w:p>
    <w:p>
      <w:pPr>
        <w:pStyle w:val="ListNumber"/>
        <w:spacing w:line="360" w:lineRule="auto" w:after="100"/>
      </w:pPr>
      <w:r>
        <w:rPr>
          <w:rFonts w:ascii="宋体" w:hAnsi="宋体" w:eastAsia="宋体"/>
          <w:sz w:val="24"/>
        </w:rPr>
        <w:t>案号、代理人和日期不得留空。</w:t>
      </w:r>
    </w:p>
    <w:p>
      <w:pPr>
        <w:pStyle w:val="Heading2"/>
      </w:pPr>
      <w:r>
        <w:t>（二）变更、明确诉讼请求申请书建议稿</w:t>
      </w:r>
    </w:p>
    <w:p>
      <w:pPr>
        <w:spacing w:line="360" w:lineRule="auto" w:after="100"/>
        <w:ind w:firstLine="420"/>
      </w:pPr>
      <w:r>
        <w:rPr>
          <w:rFonts w:ascii="宋体" w:hAnsi="宋体" w:eastAsia="宋体"/>
          <w:sz w:val="24"/>
        </w:rPr>
        <w:t>窄诉请方向正确，能够避免把共有系统、整栋安全治理和城市更新项目直接归责科棚。停止行为请求还设置了合法鉴定、治理和紧急避险例外，法律边界合格。</w:t>
      </w:r>
    </w:p>
    <w:p>
      <w:pPr>
        <w:spacing w:line="360" w:lineRule="auto" w:after="100"/>
        <w:ind w:firstLine="420"/>
      </w:pPr>
      <w:r>
        <w:rPr>
          <w:rFonts w:ascii="宋体" w:hAnsi="宋体" w:eastAsia="宋体"/>
          <w:sz w:val="24"/>
        </w:rPr>
        <w:t>当前仍有三个执行和程序问题：</w:t>
      </w:r>
    </w:p>
    <w:p>
      <w:pPr>
        <w:pStyle w:val="ListNumber"/>
        <w:spacing w:line="360" w:lineRule="auto" w:after="100"/>
      </w:pPr>
      <w:r>
        <w:rPr>
          <w:rFonts w:ascii="宋体" w:hAnsi="宋体" w:eastAsia="宋体"/>
          <w:sz w:val="24"/>
        </w:rPr>
        <w:t>“请求在人民法院依法释明并完成必要现场勘验后，将……明确如下”使申请事项呈条件性。正式提交稿应在勘验完成后直接写“现将诉讼请求变更、明确如下”；如勘验尚未完成，则本文件只能作为释明和勘验申请的配套建议稿。</w:t>
      </w:r>
    </w:p>
    <w:p>
      <w:pPr>
        <w:pStyle w:val="ListNumber"/>
        <w:spacing w:line="360" w:lineRule="auto" w:after="100"/>
      </w:pPr>
      <w:r>
        <w:rPr>
          <w:rFonts w:ascii="宋体" w:hAnsi="宋体" w:eastAsia="宋体"/>
          <w:sz w:val="24"/>
        </w:rPr>
        <w:t>第二项以P1、P2、P4以及“经勘验确认不重复的P3”为对象，点位仍不确定，法院暂时不能据此形成没有歧义的执行主文。</w:t>
      </w:r>
    </w:p>
    <w:p>
      <w:pPr>
        <w:pStyle w:val="ListNumber"/>
        <w:spacing w:line="360" w:lineRule="auto" w:after="100"/>
      </w:pPr>
      <w:r>
        <w:rPr>
          <w:rFonts w:ascii="宋体" w:hAnsi="宋体" w:eastAsia="宋体"/>
          <w:sz w:val="24"/>
        </w:rPr>
        <w:t>文末“提交前核对提示”属于内部提示，正式提交法院的版本必须删除；标题中的“建议稿”亦应删除。</w:t>
      </w:r>
    </w:p>
    <w:p>
      <w:pPr>
        <w:pStyle w:val="Heading2"/>
      </w:pPr>
      <w:r>
        <w:t>（三）损坏点位附件</w:t>
      </w:r>
    </w:p>
    <w:p>
      <w:pPr>
        <w:spacing w:line="360" w:lineRule="auto" w:after="100"/>
        <w:ind w:firstLine="420"/>
      </w:pPr>
      <w:r>
        <w:rPr>
          <w:rFonts w:ascii="宋体" w:hAnsi="宋体" w:eastAsia="宋体"/>
          <w:sz w:val="24"/>
        </w:rPr>
        <w:t>附件的结构设计合格：有照片文件、可见特征、定位要素、测量事项、修复工序、期限和验收机制，也明确不得扩大施工损害。</w:t>
      </w:r>
    </w:p>
    <w:p>
      <w:pPr>
        <w:spacing w:line="360" w:lineRule="auto" w:after="100"/>
        <w:ind w:firstLine="420"/>
      </w:pPr>
      <w:r>
        <w:rPr>
          <w:rFonts w:ascii="宋体" w:hAnsi="宋体" w:eastAsia="宋体"/>
          <w:sz w:val="24"/>
        </w:rPr>
        <w:t>但附件名称和内容均明确属于“待勘验确认稿”。四个关键执行要素尚为空缺：</w:t>
      </w:r>
    </w:p>
    <w:p>
      <w:pPr>
        <w:pStyle w:val="ListBullet"/>
        <w:spacing w:line="360" w:lineRule="auto" w:after="100"/>
      </w:pPr>
      <w:r>
        <w:rPr>
          <w:rFonts w:ascii="宋体" w:hAnsi="宋体" w:eastAsia="宋体"/>
          <w:sz w:val="24"/>
        </w:rPr>
        <w:t>所在房间、墙体方向与平面坐标；</w:t>
      </w:r>
    </w:p>
    <w:p>
      <w:pPr>
        <w:pStyle w:val="ListBullet"/>
        <w:spacing w:line="360" w:lineRule="auto" w:after="100"/>
      </w:pPr>
      <w:r>
        <w:rPr>
          <w:rFonts w:ascii="宋体" w:hAnsi="宋体" w:eastAsia="宋体"/>
          <w:sz w:val="24"/>
        </w:rPr>
        <w:t>长、宽、深及槽长；</w:t>
      </w:r>
    </w:p>
    <w:p>
      <w:pPr>
        <w:pStyle w:val="ListBullet"/>
        <w:spacing w:line="360" w:lineRule="auto" w:after="100"/>
      </w:pPr>
      <w:r>
        <w:rPr>
          <w:rFonts w:ascii="宋体" w:hAnsi="宋体" w:eastAsia="宋体"/>
          <w:sz w:val="24"/>
        </w:rPr>
        <w:t>墙体/构件性质；</w:t>
      </w:r>
    </w:p>
    <w:p>
      <w:pPr>
        <w:pStyle w:val="ListBullet"/>
        <w:spacing w:line="360" w:lineRule="auto" w:after="100"/>
      </w:pPr>
      <w:r>
        <w:rPr>
          <w:rFonts w:ascii="宋体" w:hAnsi="宋体" w:eastAsia="宋体"/>
          <w:sz w:val="24"/>
        </w:rPr>
        <w:t>P3是否重复。</w:t>
      </w:r>
    </w:p>
    <w:p>
      <w:pPr>
        <w:spacing w:line="360" w:lineRule="auto" w:after="100"/>
        <w:ind w:firstLine="420"/>
      </w:pPr>
      <w:r>
        <w:rPr>
          <w:rFonts w:ascii="宋体" w:hAnsi="宋体" w:eastAsia="宋体"/>
          <w:sz w:val="24"/>
        </w:rPr>
        <w:t>此外，照片仍未证明行为人和因果关系。该附件可以提交给法院用于组织勘验，但不能在未勘验前作为最终判决附件使用。</w:t>
      </w:r>
    </w:p>
    <w:p>
      <w:pPr>
        <w:pStyle w:val="Heading1"/>
      </w:pPr>
      <w:r>
        <w:t>四、十五项重新评分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986"/>
        <w:gridCol w:w="2986"/>
        <w:gridCol w:w="2986"/>
      </w:tblGrid>
      <w:tr>
        <w:trPr>
          <w:tblHeader/>
        </w:trPr>
        <w:tc>
          <w:tcPr>
            <w:tcW w:type="dxa" w:w="2986"/>
            <w:vAlign w:val="center"/>
            <w:shd w:fill="17365D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b/>
                <w:color w:val="FFFFFF"/>
                <w:sz w:val="20"/>
              </w:rPr>
              <w:t>项目</w:t>
            </w:r>
          </w:p>
        </w:tc>
        <w:tc>
          <w:tcPr>
            <w:tcW w:type="dxa" w:w="2986"/>
            <w:vAlign w:val="center"/>
            <w:shd w:fill="17365D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b/>
                <w:color w:val="FFFFFF"/>
                <w:sz w:val="20"/>
              </w:rPr>
              <w:t>V3得分</w:t>
            </w:r>
          </w:p>
        </w:tc>
        <w:tc>
          <w:tcPr>
            <w:tcW w:type="dxa" w:w="2986"/>
            <w:vAlign w:val="center"/>
            <w:shd w:fill="17365D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b/>
                <w:color w:val="FFFFFF"/>
                <w:sz w:val="20"/>
              </w:rPr>
              <w:t>复核理由</w:t>
            </w:r>
          </w:p>
        </w:tc>
      </w:tr>
      <w:tr>
        <w:tc>
          <w:tcPr>
            <w:tcW w:type="dxa" w:w="2986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1. 法律严谨度</w:t>
            </w:r>
          </w:p>
        </w:tc>
        <w:tc>
          <w:tcPr>
            <w:tcW w:type="dxa" w:w="2986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b/>
                <w:sz w:val="20"/>
              </w:rPr>
              <w:t>94</w:t>
            </w:r>
          </w:p>
        </w:tc>
        <w:tc>
          <w:tcPr>
            <w:tcW w:type="dxa" w:w="2986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权源、程序、责任类型、政策效力及技术评级均已校正；仍受提交状态和条件性诉请的轻微影响。</w:t>
            </w:r>
          </w:p>
        </w:tc>
      </w:tr>
      <w:tr>
        <w:tc>
          <w:tcPr>
            <w:tcW w:type="dxa" w:w="2986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2. 法言法语准确度</w:t>
            </w:r>
          </w:p>
        </w:tc>
        <w:tc>
          <w:tcPr>
            <w:tcW w:type="dxa" w:w="2986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b/>
                <w:sz w:val="20"/>
              </w:rPr>
              <w:t>95</w:t>
            </w:r>
          </w:p>
        </w:tc>
        <w:tc>
          <w:tcPr>
            <w:tcW w:type="dxa" w:w="2986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达到硬门槛；尚有一处“原告现已提交的原始电子数据固定”的生硬表述需要提交前修正。</w:t>
            </w:r>
          </w:p>
        </w:tc>
      </w:tr>
      <w:tr>
        <w:tc>
          <w:tcPr>
            <w:tcW w:type="dxa" w:w="2986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3. 主体适格论证</w:t>
            </w:r>
          </w:p>
        </w:tc>
        <w:tc>
          <w:tcPr>
            <w:tcW w:type="dxa" w:w="2986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b/>
                <w:sz w:val="20"/>
              </w:rPr>
              <w:t>93</w:t>
            </w:r>
          </w:p>
        </w:tc>
        <w:tc>
          <w:tcPr>
            <w:tcW w:type="dxa" w:w="2986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正确基于诉争主张确认科棚程序关联，并反复说明不预断实体责任。</w:t>
            </w:r>
          </w:p>
        </w:tc>
      </w:tr>
      <w:tr>
        <w:tc>
          <w:tcPr>
            <w:tcW w:type="dxa" w:w="2986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4. 科棚—城投垃圾处置证据运用</w:t>
            </w:r>
          </w:p>
        </w:tc>
        <w:tc>
          <w:tcPr>
            <w:tcW w:type="dxa" w:w="2986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b/>
                <w:sz w:val="20"/>
              </w:rPr>
              <w:t>96</w:t>
            </w:r>
          </w:p>
        </w:tc>
        <w:tc>
          <w:tcPr>
            <w:tcW w:type="dxa" w:w="2986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条件式、分层式评价，无责任自认或法定管理身份的过度推论。</w:t>
            </w:r>
          </w:p>
        </w:tc>
      </w:tr>
      <w:tr>
        <w:tc>
          <w:tcPr>
            <w:tcW w:type="dxa" w:w="2986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5. 权限链分析</w:t>
            </w:r>
          </w:p>
        </w:tc>
        <w:tc>
          <w:tcPr>
            <w:tcW w:type="dxa" w:w="2986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b/>
                <w:sz w:val="20"/>
              </w:rPr>
              <w:t>95</w:t>
            </w:r>
          </w:p>
        </w:tc>
        <w:tc>
          <w:tcPr>
            <w:tcW w:type="dxa" w:w="2986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民事代理、鉴定委托、施工承揽、劳动用工、项目管理和行政协助已经区分。</w:t>
            </w:r>
          </w:p>
        </w:tc>
      </w:tr>
      <w:tr>
        <w:tc>
          <w:tcPr>
            <w:tcW w:type="dxa" w:w="2986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6. 开福棚改投处理</w:t>
            </w:r>
          </w:p>
        </w:tc>
        <w:tc>
          <w:tcPr>
            <w:tcW w:type="dxa" w:w="2986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b/>
                <w:sz w:val="20"/>
              </w:rPr>
              <w:t>95</w:t>
            </w:r>
          </w:p>
        </w:tc>
        <w:tc>
          <w:tcPr>
            <w:tcW w:type="dxa" w:w="2986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与窄诉请路径相匹配；广泛恢复时追加共同被告并分列诉请的处理明确。</w:t>
            </w:r>
          </w:p>
        </w:tc>
      </w:tr>
      <w:tr>
        <w:tc>
          <w:tcPr>
            <w:tcW w:type="dxa" w:w="2986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7. 因果关系</w:t>
            </w:r>
          </w:p>
        </w:tc>
        <w:tc>
          <w:tcPr>
            <w:tcW w:type="dxa" w:w="2986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b/>
                <w:sz w:val="20"/>
              </w:rPr>
              <w:t>64</w:t>
            </w:r>
          </w:p>
        </w:tc>
        <w:tc>
          <w:tcPr>
            <w:tcW w:type="dxa" w:w="2986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论证方法成熟，但实体证据仍未把科棚、P1至P4和损坏形成时间连接。低分来自证据而非措辞。</w:t>
            </w:r>
          </w:p>
        </w:tc>
      </w:tr>
      <w:tr>
        <w:tc>
          <w:tcPr>
            <w:tcW w:type="dxa" w:w="2986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8. 诉请可执行性</w:t>
            </w:r>
          </w:p>
        </w:tc>
        <w:tc>
          <w:tcPr>
            <w:tcW w:type="dxa" w:w="2986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b/>
                <w:sz w:val="20"/>
              </w:rPr>
              <w:t>84</w:t>
            </w:r>
          </w:p>
        </w:tc>
        <w:tc>
          <w:tcPr>
            <w:tcW w:type="dxa" w:w="2986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已有良好附件框架、期限和验收机制；但点位、尺寸、墙体性质和P3重复性待勘验，正式申请仍为条件性建议稿。</w:t>
            </w:r>
          </w:p>
        </w:tc>
      </w:tr>
      <w:tr>
        <w:tc>
          <w:tcPr>
            <w:tcW w:type="dxa" w:w="2986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9. 城市更新政策准确度</w:t>
            </w:r>
          </w:p>
        </w:tc>
        <w:tc>
          <w:tcPr>
            <w:tcW w:type="dxa" w:w="2986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b/>
                <w:sz w:val="20"/>
              </w:rPr>
              <w:t>97</w:t>
            </w:r>
          </w:p>
        </w:tc>
        <w:tc>
          <w:tcPr>
            <w:tcW w:type="dxa" w:w="2986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文件、时际效力、效力层级及核心原文使用准确。</w:t>
            </w:r>
          </w:p>
        </w:tc>
      </w:tr>
      <w:tr>
        <w:tc>
          <w:tcPr>
            <w:tcW w:type="dxa" w:w="2986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10. 政策与民事责任边界</w:t>
            </w:r>
          </w:p>
        </w:tc>
        <w:tc>
          <w:tcPr>
            <w:tcW w:type="dxa" w:w="2986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b/>
                <w:sz w:val="20"/>
              </w:rPr>
              <w:t>99</w:t>
            </w:r>
          </w:p>
        </w:tc>
        <w:tc>
          <w:tcPr>
            <w:tcW w:type="dxa" w:w="2986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政策只作为治理、调查和调解背景，不产生科棚原拆原建、收购或者项目实施义务。</w:t>
            </w:r>
          </w:p>
        </w:tc>
      </w:tr>
      <w:tr>
        <w:tc>
          <w:tcPr>
            <w:tcW w:type="dxa" w:w="2986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11. B/C鉴定使用</w:t>
            </w:r>
          </w:p>
        </w:tc>
        <w:tc>
          <w:tcPr>
            <w:tcW w:type="dxa" w:w="2986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b/>
                <w:sz w:val="20"/>
              </w:rPr>
              <w:t>98</w:t>
            </w:r>
          </w:p>
        </w:tc>
        <w:tc>
          <w:tcPr>
            <w:tcW w:type="dxa" w:w="2986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Bu、Cu、Cu、Csu已按原报告恢复；2023年仅使用生效裁判记载的“主体结构安全性B级”，未使用未经取得的Bsu结论。</w:t>
            </w:r>
          </w:p>
        </w:tc>
      </w:tr>
      <w:tr>
        <w:tc>
          <w:tcPr>
            <w:tcW w:type="dxa" w:w="2986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12. 共有权程序处理</w:t>
            </w:r>
          </w:p>
        </w:tc>
        <w:tc>
          <w:tcPr>
            <w:tcW w:type="dxa" w:w="2986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b/>
                <w:sz w:val="20"/>
              </w:rPr>
              <w:t>94</w:t>
            </w:r>
          </w:p>
        </w:tc>
        <w:tc>
          <w:tcPr>
            <w:tcW w:type="dxa" w:w="2986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三分法及窄/广诉请程序选择准确，仍需以整栋登记簿实际落实。</w:t>
            </w:r>
          </w:p>
        </w:tc>
      </w:tr>
      <w:tr>
        <w:tc>
          <w:tcPr>
            <w:tcW w:type="dxa" w:w="2986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13. 法官说服力</w:t>
            </w:r>
          </w:p>
        </w:tc>
        <w:tc>
          <w:tcPr>
            <w:tcW w:type="dxa" w:w="2986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b/>
                <w:sz w:val="20"/>
              </w:rPr>
              <w:t>88</w:t>
            </w:r>
          </w:p>
        </w:tc>
        <w:tc>
          <w:tcPr>
            <w:tcW w:type="dxa" w:w="2986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文书克制、争点清楚，便于组织审理；实体说服力仍因核心行为证据缺失而受限。</w:t>
            </w:r>
          </w:p>
        </w:tc>
      </w:tr>
      <w:tr>
        <w:tc>
          <w:tcPr>
            <w:tcW w:type="dxa" w:w="2986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14. 对抗被告能力</w:t>
            </w:r>
          </w:p>
        </w:tc>
        <w:tc>
          <w:tcPr>
            <w:tcW w:type="dxa" w:w="2986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b/>
                <w:sz w:val="20"/>
              </w:rPr>
              <w:t>82</w:t>
            </w:r>
          </w:p>
        </w:tc>
        <w:tc>
          <w:tcPr>
            <w:tcW w:type="dxa" w:w="2986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法律抗辩能力较强；对“谁进入、谁钻孔、谁控制、谁造成”的事实攻击仍缺原始证据。</w:t>
            </w:r>
          </w:p>
        </w:tc>
      </w:tr>
      <w:tr>
        <w:tc>
          <w:tcPr>
            <w:tcW w:type="dxa" w:w="2986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15. 调解方案成熟度</w:t>
            </w:r>
          </w:p>
        </w:tc>
        <w:tc>
          <w:tcPr>
            <w:tcW w:type="dxa" w:w="2986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b/>
                <w:sz w:val="20"/>
              </w:rPr>
              <w:t>88</w:t>
            </w:r>
          </w:p>
        </w:tc>
        <w:tc>
          <w:tcPr>
            <w:tcW w:type="dxa" w:w="2986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判决与调解边界及可执行条款要素合格，但整栋方案仍须实际实施主体和产权人参加。</w:t>
            </w:r>
          </w:p>
        </w:tc>
      </w:tr>
    </w:tbl>
    <w:p>
      <w:pPr>
        <w:spacing w:after="20"/>
      </w:pPr>
    </w:p>
    <w:p>
      <w:pPr>
        <w:pStyle w:val="Heading1"/>
      </w:pPr>
      <w:r>
        <w:t>五、硬性门槛复核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239"/>
        <w:gridCol w:w="2239"/>
        <w:gridCol w:w="2239"/>
        <w:gridCol w:w="2239"/>
      </w:tblGrid>
      <w:tr>
        <w:trPr>
          <w:tblHeader/>
        </w:trPr>
        <w:tc>
          <w:tcPr>
            <w:tcW w:type="dxa" w:w="2239"/>
            <w:vAlign w:val="center"/>
            <w:shd w:fill="17365D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b/>
                <w:color w:val="FFFFFF"/>
                <w:sz w:val="20"/>
              </w:rPr>
              <w:t>硬性指标</w:t>
            </w:r>
          </w:p>
        </w:tc>
        <w:tc>
          <w:tcPr>
            <w:tcW w:type="dxa" w:w="2239"/>
            <w:vAlign w:val="center"/>
            <w:shd w:fill="17365D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b/>
                <w:color w:val="FFFFFF"/>
                <w:sz w:val="20"/>
              </w:rPr>
              <w:t>要求</w:t>
            </w:r>
          </w:p>
        </w:tc>
        <w:tc>
          <w:tcPr>
            <w:tcW w:type="dxa" w:w="2239"/>
            <w:vAlign w:val="center"/>
            <w:shd w:fill="17365D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b/>
                <w:color w:val="FFFFFF"/>
                <w:sz w:val="20"/>
              </w:rPr>
              <w:t>V3得分</w:t>
            </w:r>
          </w:p>
        </w:tc>
        <w:tc>
          <w:tcPr>
            <w:tcW w:type="dxa" w:w="2239"/>
            <w:vAlign w:val="center"/>
            <w:shd w:fill="17365D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b/>
                <w:color w:val="FFFFFF"/>
                <w:sz w:val="20"/>
              </w:rPr>
              <w:t>结果</w:t>
            </w:r>
          </w:p>
        </w:tc>
      </w:tr>
      <w:tr>
        <w:tc>
          <w:tcPr>
            <w:tcW w:type="dxa" w:w="2239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法律严谨度</w:t>
            </w:r>
          </w:p>
        </w:tc>
        <w:tc>
          <w:tcPr>
            <w:tcW w:type="dxa" w:w="2239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≥90</w:t>
            </w:r>
          </w:p>
        </w:tc>
        <w:tc>
          <w:tcPr>
            <w:tcW w:type="dxa" w:w="2239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94</w:t>
            </w:r>
          </w:p>
        </w:tc>
        <w:tc>
          <w:tcPr>
            <w:tcW w:type="dxa" w:w="2239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通过</w:t>
            </w:r>
          </w:p>
        </w:tc>
      </w:tr>
      <w:tr>
        <w:tc>
          <w:tcPr>
            <w:tcW w:type="dxa" w:w="2239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法言法语准确度</w:t>
            </w:r>
          </w:p>
        </w:tc>
        <w:tc>
          <w:tcPr>
            <w:tcW w:type="dxa" w:w="2239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≥95</w:t>
            </w:r>
          </w:p>
        </w:tc>
        <w:tc>
          <w:tcPr>
            <w:tcW w:type="dxa" w:w="2239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95</w:t>
            </w:r>
          </w:p>
        </w:tc>
        <w:tc>
          <w:tcPr>
            <w:tcW w:type="dxa" w:w="2239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通过</w:t>
            </w:r>
          </w:p>
        </w:tc>
      </w:tr>
      <w:tr>
        <w:tc>
          <w:tcPr>
            <w:tcW w:type="dxa" w:w="2239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主体适格论证</w:t>
            </w:r>
          </w:p>
        </w:tc>
        <w:tc>
          <w:tcPr>
            <w:tcW w:type="dxa" w:w="2239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≥90</w:t>
            </w:r>
          </w:p>
        </w:tc>
        <w:tc>
          <w:tcPr>
            <w:tcW w:type="dxa" w:w="2239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93</w:t>
            </w:r>
          </w:p>
        </w:tc>
        <w:tc>
          <w:tcPr>
            <w:tcW w:type="dxa" w:w="2239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通过</w:t>
            </w:r>
          </w:p>
        </w:tc>
      </w:tr>
      <w:tr>
        <w:tc>
          <w:tcPr>
            <w:tcW w:type="dxa" w:w="2239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城市更新政策准确度</w:t>
            </w:r>
          </w:p>
        </w:tc>
        <w:tc>
          <w:tcPr>
            <w:tcW w:type="dxa" w:w="2239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≥90</w:t>
            </w:r>
          </w:p>
        </w:tc>
        <w:tc>
          <w:tcPr>
            <w:tcW w:type="dxa" w:w="2239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97</w:t>
            </w:r>
          </w:p>
        </w:tc>
        <w:tc>
          <w:tcPr>
            <w:tcW w:type="dxa" w:w="2239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通过</w:t>
            </w:r>
          </w:p>
        </w:tc>
      </w:tr>
      <w:tr>
        <w:tc>
          <w:tcPr>
            <w:tcW w:type="dxa" w:w="2239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政策与民事责任边界</w:t>
            </w:r>
          </w:p>
        </w:tc>
        <w:tc>
          <w:tcPr>
            <w:tcW w:type="dxa" w:w="2239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≥95</w:t>
            </w:r>
          </w:p>
        </w:tc>
        <w:tc>
          <w:tcPr>
            <w:tcW w:type="dxa" w:w="2239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99</w:t>
            </w:r>
          </w:p>
        </w:tc>
        <w:tc>
          <w:tcPr>
            <w:tcW w:type="dxa" w:w="2239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通过</w:t>
            </w:r>
          </w:p>
        </w:tc>
      </w:tr>
      <w:tr>
        <w:tc>
          <w:tcPr>
            <w:tcW w:type="dxa" w:w="2239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法官说服力</w:t>
            </w:r>
          </w:p>
        </w:tc>
        <w:tc>
          <w:tcPr>
            <w:tcW w:type="dxa" w:w="2239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≥85</w:t>
            </w:r>
          </w:p>
        </w:tc>
        <w:tc>
          <w:tcPr>
            <w:tcW w:type="dxa" w:w="2239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88</w:t>
            </w:r>
          </w:p>
        </w:tc>
        <w:tc>
          <w:tcPr>
            <w:tcW w:type="dxa" w:w="2239"/>
            <w:vAlign w:val="center"/>
            <w:shd w:fill="F6F8FA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通过</w:t>
            </w:r>
          </w:p>
        </w:tc>
      </w:tr>
      <w:tr>
        <w:tc>
          <w:tcPr>
            <w:tcW w:type="dxa" w:w="2239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诉请可执行性</w:t>
            </w:r>
          </w:p>
        </w:tc>
        <w:tc>
          <w:tcPr>
            <w:tcW w:type="dxa" w:w="2239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≥85</w:t>
            </w:r>
          </w:p>
        </w:tc>
        <w:tc>
          <w:tcPr>
            <w:tcW w:type="dxa" w:w="2239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sz w:val="20"/>
              </w:rPr>
              <w:t>84</w:t>
            </w:r>
          </w:p>
        </w:tc>
        <w:tc>
          <w:tcPr>
            <w:tcW w:type="dxa" w:w="2239"/>
            <w:vAlign w:val="center"/>
            <w:tcBorders>
              <w:top w:val="single" w:sz="4" w:color="AEB9C6"/>
              <w:left w:val="single" w:sz="4" w:color="AEB9C6"/>
              <w:bottom w:val="single" w:sz="4" w:color="AEB9C6"/>
              <w:right w:val="single" w:sz="4" w:color="AEB9C6"/>
            </w:tcBorders>
          </w:tcPr>
          <w:p>
            <w:pPr>
              <w:spacing w:after="20" w:line="276" w:lineRule="auto"/>
            </w:pPr>
            <w:r>
              <w:rPr>
                <w:rFonts w:ascii="宋体" w:hAnsi="宋体" w:eastAsia="宋体"/>
                <w:b/>
                <w:sz w:val="20"/>
              </w:rPr>
              <w:t>未通过</w:t>
            </w:r>
          </w:p>
        </w:tc>
      </w:tr>
    </w:tbl>
    <w:p>
      <w:pPr>
        <w:spacing w:after="20"/>
      </w:pPr>
    </w:p>
    <w:p>
      <w:pPr>
        <w:pStyle w:val="Heading1"/>
      </w:pPr>
      <w:r>
        <w:t>六、无法通过继续修改V3文字解决的事项</w:t>
      </w:r>
    </w:p>
    <w:p>
      <w:pPr>
        <w:pStyle w:val="ListNumber"/>
        <w:spacing w:line="360" w:lineRule="auto" w:after="100"/>
      </w:pPr>
      <w:r>
        <w:rPr>
          <w:rFonts w:ascii="宋体" w:hAnsi="宋体" w:eastAsia="宋体"/>
          <w:sz w:val="24"/>
        </w:rPr>
        <w:t>东301与登记“303房”及旧门牌的同一性须由登记或地名材料证明；</w:t>
      </w:r>
    </w:p>
    <w:p>
      <w:pPr>
        <w:pStyle w:val="ListNumber"/>
        <w:spacing w:line="360" w:lineRule="auto" w:after="100"/>
      </w:pPr>
      <w:r>
        <w:rPr>
          <w:rFonts w:ascii="宋体" w:hAnsi="宋体" w:eastAsia="宋体"/>
          <w:sz w:val="24"/>
        </w:rPr>
        <w:t>P1至P4必须经现场勘验定位、测量并判断构件性质；</w:t>
      </w:r>
    </w:p>
    <w:p>
      <w:pPr>
        <w:pStyle w:val="ListNumber"/>
        <w:spacing w:line="360" w:lineRule="auto" w:after="100"/>
      </w:pPr>
      <w:r>
        <w:rPr>
          <w:rFonts w:ascii="宋体" w:hAnsi="宋体" w:eastAsia="宋体"/>
          <w:sz w:val="24"/>
        </w:rPr>
        <w:t>P3是否为其他点位近景须现场比对；</w:t>
      </w:r>
    </w:p>
    <w:p>
      <w:pPr>
        <w:pStyle w:val="ListNumber"/>
        <w:spacing w:line="360" w:lineRule="auto" w:after="100"/>
      </w:pPr>
      <w:r>
        <w:rPr>
          <w:rFonts w:ascii="宋体" w:hAnsi="宋体" w:eastAsia="宋体"/>
          <w:sz w:val="24"/>
        </w:rPr>
        <w:t>科棚与现场行为人的任务、劳动、委托或指示关系须由公安材料、原始音视频和单位资料证明；</w:t>
      </w:r>
    </w:p>
    <w:p>
      <w:pPr>
        <w:pStyle w:val="ListNumber"/>
        <w:spacing w:line="360" w:lineRule="auto" w:after="100"/>
      </w:pPr>
      <w:r>
        <w:rPr>
          <w:rFonts w:ascii="宋体" w:hAnsi="宋体" w:eastAsia="宋体"/>
          <w:sz w:val="24"/>
        </w:rPr>
        <w:t>孔洞与2023年加固、历史电气拆除痕迹的因果区分需要施工记录或专业意见；</w:t>
      </w:r>
    </w:p>
    <w:p>
      <w:pPr>
        <w:pStyle w:val="ListNumber"/>
        <w:spacing w:line="360" w:lineRule="auto" w:after="100"/>
      </w:pPr>
      <w:r>
        <w:rPr>
          <w:rFonts w:ascii="宋体" w:hAnsi="宋体" w:eastAsia="宋体"/>
          <w:sz w:val="24"/>
        </w:rPr>
        <w:t>诉后垃圾清运、“城投”法人及清运权限仍无原始证据；</w:t>
      </w:r>
    </w:p>
    <w:p>
      <w:pPr>
        <w:pStyle w:val="ListNumber"/>
        <w:spacing w:line="360" w:lineRule="auto" w:after="100"/>
      </w:pPr>
      <w:r>
        <w:rPr>
          <w:rFonts w:ascii="宋体" w:hAnsi="宋体" w:eastAsia="宋体"/>
          <w:sz w:val="24"/>
        </w:rPr>
        <w:t>建筑废料、排水、围挡和整体安全状态不能因本次窄诉请附件而当然获得证明。</w:t>
      </w:r>
    </w:p>
    <w:p>
      <w:pPr>
        <w:spacing w:line="360" w:lineRule="auto" w:after="100"/>
        <w:ind w:firstLine="420"/>
      </w:pPr>
      <w:r>
        <w:rPr>
          <w:rFonts w:ascii="宋体" w:hAnsi="宋体" w:eastAsia="宋体"/>
          <w:sz w:val="24"/>
        </w:rPr>
        <w:t>这些事项不应再通过抽象提高文字分数处理。现场勘验完成并形成双方签认或法院笔录后，将坐标、尺寸、构件性质和P3重复情况填入附件，诉请可执行性可评为88分；行为归属证据仍决定实体请求能否获得支持。</w:t>
      </w:r>
    </w:p>
    <w:p>
      <w:pPr>
        <w:pStyle w:val="Heading1"/>
      </w:pPr>
      <w:r>
        <w:t>七、最终放行意见</w:t>
      </w:r>
    </w:p>
    <w:p>
      <w:pPr>
        <w:pStyle w:val="ListNumber"/>
        <w:spacing w:line="360" w:lineRule="auto" w:after="100"/>
      </w:pPr>
      <w:r>
        <w:rPr>
          <w:rFonts w:ascii="宋体" w:hAnsi="宋体" w:eastAsia="宋体"/>
          <w:b/>
          <w:sz w:val="24"/>
        </w:rPr>
        <w:t>V3代理意见正文：文书层面有条件放行。</w:t>
      </w:r>
      <w:r>
        <w:rPr>
          <w:rFonts w:ascii="宋体" w:hAnsi="宋体" w:eastAsia="宋体"/>
          <w:sz w:val="24"/>
        </w:rPr>
        <w:t>完成一处语言修正、证据编号、案号、代理人和日期核对后，可以作为提交前正式版本。</w:t>
      </w:r>
    </w:p>
    <w:p>
      <w:pPr>
        <w:pStyle w:val="ListNumber"/>
        <w:spacing w:line="360" w:lineRule="auto" w:after="100"/>
      </w:pPr>
      <w:r>
        <w:rPr>
          <w:rFonts w:ascii="宋体" w:hAnsi="宋体" w:eastAsia="宋体"/>
          <w:b/>
          <w:sz w:val="24"/>
        </w:rPr>
        <w:t>诉讼请求申请书：目前仅放行为内部建议稿。</w:t>
      </w:r>
      <w:r>
        <w:rPr>
          <w:rFonts w:ascii="宋体" w:hAnsi="宋体" w:eastAsia="宋体"/>
          <w:sz w:val="24"/>
        </w:rPr>
        <w:t>在勘验前可以用于申请法院释明和组织勘验；作为正式变更诉请提交时，应删除“建议稿”“提交前核对提示”，并消除“勘验后再明确”的条件性表述。</w:t>
      </w:r>
    </w:p>
    <w:p>
      <w:pPr>
        <w:pStyle w:val="ListNumber"/>
        <w:spacing w:line="360" w:lineRule="auto" w:after="100"/>
      </w:pPr>
      <w:r>
        <w:rPr>
          <w:rFonts w:ascii="宋体" w:hAnsi="宋体" w:eastAsia="宋体"/>
          <w:b/>
          <w:sz w:val="24"/>
        </w:rPr>
        <w:t>点位附件：放行为现场勘验工作稿，不放行为判决执行附件。</w:t>
      </w:r>
      <w:r>
        <w:rPr>
          <w:rFonts w:ascii="宋体" w:hAnsi="宋体" w:eastAsia="宋体"/>
          <w:sz w:val="24"/>
        </w:rPr>
        <w:t>勘验后补齐位置、尺寸、构件性质和重复性结论，再生成定稿。</w:t>
      </w:r>
    </w:p>
    <w:p>
      <w:pPr>
        <w:pStyle w:val="ListNumber"/>
        <w:spacing w:line="360" w:lineRule="auto" w:after="100"/>
      </w:pPr>
      <w:r>
        <w:rPr>
          <w:rFonts w:ascii="宋体" w:hAnsi="宋体" w:eastAsia="宋体"/>
          <w:b/>
          <w:sz w:val="24"/>
        </w:rPr>
        <w:t>整体项目最终评分：不得宣称七项硬门槛全部通过。</w:t>
      </w:r>
      <w:r>
        <w:rPr>
          <w:rFonts w:ascii="宋体" w:hAnsi="宋体" w:eastAsia="宋体"/>
          <w:sz w:val="24"/>
        </w:rPr>
        <w:t>当前六项通过，诉请可执行性因客观证据和现场参数缺口为84分。该缺口不构成对法律意见正文质量的否定，但必须在最终评分与放行报告中明示。</w:t>
      </w:r>
    </w:p>
    <w:sectPr w:rsidR="00FC693F" w:rsidRPr="0006063C" w:rsidSect="00034616">
      <w:footerReference w:type="default" r:id="rId9"/>
      <w:pgSz w:w="11906" w:h="16838"/>
      <w:pgMar w:top="1474" w:right="1417" w:bottom="1361" w:left="1531" w:header="680" w:footer="68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宋体" w:hAnsi="宋体" w:eastAsia="宋体"/>
        <w:color w:val="5F6B78"/>
        <w:sz w:val="17"/>
      </w:rPr>
      <w:t xml:space="preserve">楠木厅12号案 · 2026年8月核验版  |  </w:t>
    </w:r>
    <w:r>
      <w:rPr>
        <w:rFonts w:ascii="宋体" w:hAnsi="宋体" w:eastAsia="宋体"/>
        <w:color w:val="5F6B78"/>
        <w:sz w:val="18"/>
      </w:rPr>
      <w:fldChar w:fldCharType="begin"/>
      <w:instrText xml:space="preserve"> PAGE 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widowControl/>
      <w:spacing w:line="360" w:lineRule="auto" w:after="100"/>
    </w:pPr>
    <w:rPr>
      <w:rFonts w:ascii="宋体" w:hAnsi="宋体" w:eastAsia="宋体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80" w:after="120"/>
      <w:outlineLvl w:val="0"/>
    </w:pPr>
    <w:rPr>
      <w:rFonts w:asciiTheme="majorHAnsi" w:eastAsiaTheme="majorEastAsia" w:hAnsiTheme="majorHAnsi" w:cstheme="majorBidi" w:ascii="黑体" w:hAnsi="黑体" w:eastAsia="黑体"/>
      <w:b/>
      <w:bCs/>
      <w:color w:val="17365D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120"/>
      <w:outlineLvl w:val="1"/>
    </w:pPr>
    <w:rPr>
      <w:rFonts w:asciiTheme="majorHAnsi" w:eastAsiaTheme="majorEastAsia" w:hAnsiTheme="majorHAnsi" w:cstheme="majorBidi" w:ascii="黑体" w:hAnsi="黑体" w:eastAsia="黑体"/>
      <w:b/>
      <w:bCs/>
      <w:color w:val="17365D"/>
      <w:sz w:val="3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20"/>
      <w:outlineLvl w:val="2"/>
    </w:pPr>
    <w:rPr>
      <w:rFonts w:asciiTheme="majorHAnsi" w:eastAsiaTheme="majorEastAsia" w:hAnsiTheme="majorHAnsi" w:cstheme="majorBidi" w:ascii="黑体" w:hAnsi="黑体" w:eastAsia="黑体"/>
      <w:b/>
      <w:bCs/>
      <w:color w:val="17365D"/>
      <w:sz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120"/>
      <w:outlineLvl w:val="3"/>
    </w:pPr>
    <w:rPr>
      <w:rFonts w:asciiTheme="majorHAnsi" w:eastAsiaTheme="majorEastAsia" w:hAnsiTheme="majorHAnsi" w:cstheme="majorBidi" w:ascii="黑体" w:hAnsi="黑体" w:eastAsia="黑体"/>
      <w:b/>
      <w:bCs/>
      <w:i/>
      <w:iCs/>
      <w:color w:val="17365D"/>
      <w:sz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Final_Reviewer_V3</dc:title>
  <dc:subject>楠木厅12号排除妨害纠纷专题材料</dc:subject>
  <dc:creator>案件代理工作组</dc:creator>
  <cp:keywords>排除妨害; 城市更新; 潮宗街; 房屋安全; 调解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