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Final Reviewer 独立终审报告（V2）</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spacing w:line="360" w:lineRule="auto" w:after="100"/>
        <w:ind w:firstLine="420"/>
      </w:pPr>
      <w:r>
        <w:rPr>
          <w:rFonts w:ascii="宋体" w:hAnsi="宋体" w:eastAsia="宋体"/>
          <w:sz w:val="24"/>
        </w:rPr>
        <w:t>审查对象：新版代理意见_长沙城市更新政策综合重构版_V2.md 审查基准日：2026年8月14日 审查视角：一审法官、二审法官、被告代理律师、执行法官、法律文书语言审查人员 审查原则：不沿用、不平均V1阶段评分；文书质量与现有证据强度分别评价。</w:t>
      </w:r>
    </w:p>
    <w:p>
      <w:pPr>
        <w:pStyle w:val="Heading1"/>
      </w:pPr>
      <w:r>
        <w:t>一、终审结论</w:t>
      </w:r>
    </w:p>
    <w:p>
      <w:pPr>
        <w:spacing w:line="360" w:lineRule="auto" w:after="100"/>
        <w:ind w:firstLine="420"/>
      </w:pPr>
      <w:r>
        <w:rPr>
          <w:rFonts w:ascii="宋体" w:hAnsi="宋体" w:eastAsia="宋体"/>
          <w:sz w:val="24"/>
        </w:rPr>
        <w:t>V2已经完成实质性纠偏：案件性质仍定位为物权保护项下的排除妨害纠纷；科棚的被告主体适格性与各项实体责任是否成立得到区分；原告自身房屋安全使用责任、开福棚改投的既有管理改造依据、独立承揽人责任、共有部分程序、城市更新政策的时际与效力边界均已正面处理；诉后生活垃圾清运没有被写成责任自认；“一房一策”与“一屋一策”、2022年报告与2023年报告亦未再作时间顺序上的错误倒置。</w:t>
      </w:r>
    </w:p>
    <w:p>
      <w:pPr>
        <w:spacing w:line="360" w:lineRule="auto" w:after="100"/>
        <w:ind w:firstLine="420"/>
      </w:pPr>
      <w:r>
        <w:rPr>
          <w:rFonts w:ascii="宋体" w:hAnsi="宋体" w:eastAsia="宋体"/>
          <w:sz w:val="24"/>
        </w:rPr>
        <w:t>但是，V2</w:t>
      </w:r>
      <w:r>
        <w:rPr>
          <w:rFonts w:ascii="宋体" w:hAnsi="宋体" w:eastAsia="宋体"/>
          <w:b/>
          <w:sz w:val="24"/>
        </w:rPr>
        <w:t>尚不能按用户设定的硬性标准直接放行为最终法院提交版</w:t>
      </w:r>
      <w:r>
        <w:rPr>
          <w:rFonts w:ascii="宋体" w:hAnsi="宋体" w:eastAsia="宋体"/>
          <w:sz w:val="24"/>
        </w:rPr>
        <w:t>。有三个原因：</w:t>
      </w:r>
    </w:p>
    <w:p>
      <w:pPr>
        <w:pStyle w:val="ListNumber"/>
        <w:spacing w:line="360" w:lineRule="auto" w:after="100"/>
      </w:pPr>
      <w:r>
        <w:rPr>
          <w:rFonts w:ascii="宋体" w:hAnsi="宋体" w:eastAsia="宋体"/>
          <w:sz w:val="24"/>
        </w:rPr>
        <w:t xml:space="preserve">2022年鉴定报告的技术等级仍被写错。报告原文载明：地基基础子单元为 </w:t>
      </w:r>
      <w:r>
        <w:rPr>
          <w:rFonts w:ascii="宋体" w:hAnsi="宋体" w:eastAsia="宋体"/>
          <w:b/>
          <w:sz w:val="24"/>
        </w:rPr>
        <w:t>Bu级</w:t>
      </w:r>
      <w:r>
        <w:rPr>
          <w:rFonts w:ascii="宋体" w:hAnsi="宋体" w:eastAsia="宋体"/>
          <w:sz w:val="24"/>
        </w:rPr>
        <w:t xml:space="preserve">、上部承重结构子单元为 </w:t>
      </w:r>
      <w:r>
        <w:rPr>
          <w:rFonts w:ascii="宋体" w:hAnsi="宋体" w:eastAsia="宋体"/>
          <w:b/>
          <w:sz w:val="24"/>
        </w:rPr>
        <w:t>Cu级</w:t>
      </w:r>
      <w:r>
        <w:rPr>
          <w:rFonts w:ascii="宋体" w:hAnsi="宋体" w:eastAsia="宋体"/>
          <w:sz w:val="24"/>
        </w:rPr>
        <w:t xml:space="preserve">、围护系统承重部分子单元为 </w:t>
      </w:r>
      <w:r>
        <w:rPr>
          <w:rFonts w:ascii="宋体" w:hAnsi="宋体" w:eastAsia="宋体"/>
          <w:b/>
          <w:sz w:val="24"/>
        </w:rPr>
        <w:t>Cu级</w:t>
      </w:r>
      <w:r>
        <w:rPr>
          <w:rFonts w:ascii="宋体" w:hAnsi="宋体" w:eastAsia="宋体"/>
          <w:sz w:val="24"/>
        </w:rPr>
        <w:t xml:space="preserve">，鉴定单元安全性等级为 </w:t>
      </w:r>
      <w:r>
        <w:rPr>
          <w:rFonts w:ascii="宋体" w:hAnsi="宋体" w:eastAsia="宋体"/>
          <w:b/>
          <w:sz w:val="24"/>
        </w:rPr>
        <w:t>Csu级</w:t>
      </w:r>
      <w:r>
        <w:rPr>
          <w:rFonts w:ascii="宋体" w:hAnsi="宋体" w:eastAsia="宋体"/>
          <w:sz w:val="24"/>
        </w:rPr>
        <w:t>。V2第十节写成“B级、C级、C级、Csu级”，遗漏下标所体现的评级层级，违反本项目不得混同评级体系的要求。</w:t>
      </w:r>
    </w:p>
    <w:p>
      <w:pPr>
        <w:pStyle w:val="ListNumber"/>
        <w:spacing w:line="360" w:lineRule="auto" w:after="100"/>
      </w:pPr>
      <w:r>
        <w:rPr>
          <w:rFonts w:ascii="宋体" w:hAnsi="宋体" w:eastAsia="宋体"/>
          <w:sz w:val="24"/>
        </w:rPr>
        <w:t>“无合法权限来源且未履行必要程序”使用联结词“且”，可能产生只有“无权源”和“未履行程序”同时存在时才构成不当进入的歧义。缺乏权限、超出权限范围、虽有权限但未履行必要程序，均应分别审查。</w:t>
      </w:r>
    </w:p>
    <w:p>
      <w:pPr>
        <w:pStyle w:val="ListNumber"/>
        <w:spacing w:line="360" w:lineRule="auto" w:after="100"/>
      </w:pPr>
      <w:r>
        <w:rPr>
          <w:rFonts w:ascii="宋体" w:hAnsi="宋体" w:eastAsia="宋体"/>
          <w:sz w:val="24"/>
        </w:rPr>
        <w:t>V2提出了可执行化方向，但没有形成与现行诉讼请求相衔接的最终请求文本、损坏点位附件、修复方案、履行期限及验收主体。第十五节明确表示将来另行变更诉请，说明当前文本自身尚未完成“可直接判、可直接执行”的收口。</w:t>
      </w:r>
    </w:p>
    <w:p>
      <w:pPr>
        <w:spacing w:line="360" w:lineRule="auto" w:after="100"/>
        <w:ind w:firstLine="420"/>
      </w:pPr>
      <w:r>
        <w:rPr>
          <w:rFonts w:ascii="宋体" w:hAnsi="宋体" w:eastAsia="宋体"/>
          <w:sz w:val="24"/>
        </w:rPr>
        <w:t>此外，V2多处如实披露证据缺口，提升了文书可信度，但也意味着当前证据尚不足以支持对科棚作出任何一项确定给付判决。该问题不能通过提高文书评分掩盖。</w:t>
      </w:r>
    </w:p>
    <w:p>
      <w:pPr>
        <w:pStyle w:val="Heading1"/>
      </w:pPr>
      <w:r>
        <w:t>二、五种视角的独立评价</w:t>
      </w:r>
    </w:p>
    <w:p>
      <w:pPr>
        <w:pStyle w:val="Heading2"/>
      </w:pPr>
      <w:r>
        <w:t>（一）一审法官视角</w:t>
      </w:r>
    </w:p>
    <w:p>
      <w:pPr>
        <w:spacing w:line="360" w:lineRule="auto" w:after="100"/>
        <w:ind w:firstLine="420"/>
      </w:pPr>
      <w:r>
        <w:rPr>
          <w:rFonts w:ascii="宋体" w:hAnsi="宋体" w:eastAsia="宋体"/>
          <w:sz w:val="24"/>
        </w:rPr>
        <w:t>V2可以帮助承办法官迅速识别争点、安排调查取证和现场勘验。其最有价值之处，是把案件拆分为“行为主体—权限抗辩—具体损坏—持续妨害—责任范围—可执行结果”六个层次。</w:t>
      </w:r>
    </w:p>
    <w:p>
      <w:pPr>
        <w:spacing w:line="360" w:lineRule="auto" w:after="100"/>
        <w:ind w:firstLine="420"/>
      </w:pPr>
      <w:r>
        <w:rPr>
          <w:rFonts w:ascii="宋体" w:hAnsi="宋体" w:eastAsia="宋体"/>
          <w:sz w:val="24"/>
        </w:rPr>
        <w:t>但以当前材料开庭并立即裁判，法官仍难支持针对科棚的实体请求。报警回执不记载现场事实；孔洞照片不能证明地点、时间和行为人；“有权鉴定”与诉后清运尚无原始电子数据；建筑废料、排水、围挡均未形成“现状—形成或控制主体—因果关系—修复标准”的证明体系。V2在正式代理意见中大量列明这些缺口，法官可能把它理解为原告在开庭前尚未完成最基本的本证。</w:t>
      </w:r>
    </w:p>
    <w:p>
      <w:pPr>
        <w:pStyle w:val="Heading2"/>
      </w:pPr>
      <w:r>
        <w:t>（二）二审法官视角</w:t>
      </w:r>
    </w:p>
    <w:p>
      <w:pPr>
        <w:spacing w:line="360" w:lineRule="auto" w:after="100"/>
        <w:ind w:firstLine="420"/>
      </w:pPr>
      <w:r>
        <w:rPr>
          <w:rFonts w:ascii="宋体" w:hAnsi="宋体" w:eastAsia="宋体"/>
          <w:sz w:val="24"/>
        </w:rPr>
        <w:t>V2对政策与请求权、主体适格与实体责任、开福棚改投职责与科棚授权之间的边界处理较好，有助于避免一审因法律关系混同而被改判或发回。</w:t>
      </w:r>
    </w:p>
    <w:p>
      <w:pPr>
        <w:spacing w:line="360" w:lineRule="auto" w:after="100"/>
        <w:ind w:firstLine="420"/>
      </w:pPr>
      <w:r>
        <w:rPr>
          <w:rFonts w:ascii="宋体" w:hAnsi="宋体" w:eastAsia="宋体"/>
          <w:sz w:val="24"/>
        </w:rPr>
        <w:t>二审风险主要来自程序与裁判对象：如果一审在未核实全部权利人、未处理开福棚改投参加诉讼问题时直接判令整栋排水、结构加固或者出入口改造，容易发生遗漏必要诉讼主体或超出个别业主可单独处分范围的问题；如果以代理意见替代正式变更诉讼请求，则会发生审判范围不清。V2已经指出这些风险，但尚未通过实际程序申请予以消除。</w:t>
      </w:r>
    </w:p>
    <w:p>
      <w:pPr>
        <w:pStyle w:val="Heading2"/>
      </w:pPr>
      <w:r>
        <w:t>（三）被告代理律师视角</w:t>
      </w:r>
    </w:p>
    <w:p>
      <w:pPr>
        <w:spacing w:line="360" w:lineRule="auto" w:after="100"/>
        <w:ind w:firstLine="420"/>
      </w:pPr>
      <w:r>
        <w:rPr>
          <w:rFonts w:ascii="宋体" w:hAnsi="宋体" w:eastAsia="宋体"/>
          <w:sz w:val="24"/>
        </w:rPr>
        <w:t>V2对被告最难攻击的部分，是政策边界、垃圾清运证明边界和主体适格与实体责任的区分。对方难以再仅以“开福棚改投另有职责”为由当然排除科棚作为被告进入实体审理。</w:t>
      </w:r>
    </w:p>
    <w:p>
      <w:pPr>
        <w:spacing w:line="360" w:lineRule="auto" w:after="100"/>
      </w:pPr>
      <w:r>
        <w:rPr>
          <w:rFonts w:ascii="宋体" w:hAnsi="宋体" w:eastAsia="宋体"/>
          <w:sz w:val="24"/>
        </w:rPr>
        <w:t>被告仍可集中攻击四点：第一，没有原始证据把科棚与2026年入户、钻孔连接；第二，原告系法定房屋安全使用责任人，科棚未被证明承接整栋治理义务；第三，独立鉴定、施工承揽人实施专业操作时，科棚并不当然承担第一千一百九十一条意义上的用人单位责任；第四，V2主动承认现行宽泛请求尚待变更，被告可据此主张当前请求不明确、事实依据不足。</w:t>
      </w:r>
    </w:p>
    <w:p>
      <w:pPr>
        <w:pStyle w:val="Heading2"/>
      </w:pPr>
      <w:r>
        <w:t>（四）执行法官视角</w:t>
      </w:r>
    </w:p>
    <w:p>
      <w:pPr>
        <w:spacing w:line="360" w:lineRule="auto" w:after="100"/>
        <w:ind w:firstLine="420"/>
      </w:pPr>
      <w:r>
        <w:rPr>
          <w:rFonts w:ascii="宋体" w:hAnsi="宋体" w:eastAsia="宋体"/>
          <w:sz w:val="24"/>
        </w:rPr>
        <w:t>V2提出“点位、方案、通水或闭水试验、替代通道”等正确方向，但尚不能生成执行通知书：</w:t>
      </w:r>
    </w:p>
    <w:p>
      <w:pPr>
        <w:pStyle w:val="ListBullet"/>
        <w:spacing w:line="360" w:lineRule="auto" w:after="100"/>
      </w:pPr>
      <w:r>
        <w:rPr>
          <w:rFonts w:ascii="宋体" w:hAnsi="宋体" w:eastAsia="宋体"/>
          <w:sz w:val="24"/>
        </w:rPr>
        <w:t>没有孔洞、剔凿的编号、位置、尺寸及修复做法；</w:t>
      </w:r>
    </w:p>
    <w:p>
      <w:pPr>
        <w:pStyle w:val="ListBullet"/>
        <w:spacing w:line="360" w:lineRule="auto" w:after="100"/>
      </w:pPr>
      <w:r>
        <w:rPr>
          <w:rFonts w:ascii="宋体" w:hAnsi="宋体" w:eastAsia="宋体"/>
          <w:sz w:val="24"/>
        </w:rPr>
        <w:t>没有建筑废料点位、类别和数量；</w:t>
      </w:r>
    </w:p>
    <w:p>
      <w:pPr>
        <w:pStyle w:val="ListBullet"/>
        <w:spacing w:line="360" w:lineRule="auto" w:after="100"/>
      </w:pPr>
      <w:r>
        <w:rPr>
          <w:rFonts w:ascii="宋体" w:hAnsi="宋体" w:eastAsia="宋体"/>
          <w:sz w:val="24"/>
        </w:rPr>
        <w:t>没有排水管段、功能测试参数；</w:t>
      </w:r>
    </w:p>
    <w:p>
      <w:pPr>
        <w:pStyle w:val="ListBullet"/>
        <w:spacing w:line="360" w:lineRule="auto" w:after="100"/>
      </w:pPr>
      <w:r>
        <w:rPr>
          <w:rFonts w:ascii="宋体" w:hAnsi="宋体" w:eastAsia="宋体"/>
          <w:sz w:val="24"/>
        </w:rPr>
        <w:t>没有围挡具体区段、应保留的安全防护和替代通道标准；</w:t>
      </w:r>
    </w:p>
    <w:p>
      <w:pPr>
        <w:pStyle w:val="ListBullet"/>
        <w:spacing w:line="360" w:lineRule="auto" w:after="100"/>
      </w:pPr>
      <w:r>
        <w:rPr>
          <w:rFonts w:ascii="宋体" w:hAnsi="宋体" w:eastAsia="宋体"/>
          <w:sz w:val="24"/>
        </w:rPr>
        <w:t>没有履行期限、验收主体、费用及异议处理机制；</w:t>
      </w:r>
    </w:p>
    <w:p>
      <w:pPr>
        <w:pStyle w:val="ListBullet"/>
        <w:spacing w:line="360" w:lineRule="auto" w:after="100"/>
      </w:pPr>
      <w:r>
        <w:rPr>
          <w:rFonts w:ascii="宋体" w:hAnsi="宋体" w:eastAsia="宋体"/>
          <w:sz w:val="24"/>
        </w:rPr>
        <w:t>现行诉讼请求与V2建议的新请求尚未通过正式程序完成衔接。</w:t>
      </w:r>
    </w:p>
    <w:p>
      <w:pPr>
        <w:spacing w:line="360" w:lineRule="auto" w:after="100"/>
        <w:ind w:firstLine="420"/>
      </w:pPr>
      <w:r>
        <w:rPr>
          <w:rFonts w:ascii="宋体" w:hAnsi="宋体" w:eastAsia="宋体"/>
          <w:sz w:val="24"/>
        </w:rPr>
        <w:t>因此，V2的“可执行性”是设计方向合格、最终主文尚未完成。</w:t>
      </w:r>
    </w:p>
    <w:p>
      <w:pPr>
        <w:pStyle w:val="Heading2"/>
      </w:pPr>
      <w:r>
        <w:t>（五）法律文书语言审查视角</w:t>
      </w:r>
    </w:p>
    <w:p>
      <w:pPr>
        <w:spacing w:line="360" w:lineRule="auto" w:after="100"/>
        <w:ind w:firstLine="420"/>
      </w:pPr>
      <w:r>
        <w:rPr>
          <w:rFonts w:ascii="宋体" w:hAnsi="宋体" w:eastAsia="宋体"/>
          <w:sz w:val="24"/>
        </w:rPr>
        <w:t>V2整体已经达到专业法院文书水准，未出现“告错人”“有权鉴定就应该负责”“清垃圾说明承认责任”等口语或概念混同。尚需修改的语言问题包括：</w:t>
      </w:r>
    </w:p>
    <w:p>
      <w:pPr>
        <w:pStyle w:val="ListNumber"/>
        <w:spacing w:line="360" w:lineRule="auto" w:after="100"/>
      </w:pPr>
      <w:r>
        <w:rPr>
          <w:rFonts w:ascii="宋体" w:hAnsi="宋体" w:eastAsia="宋体"/>
          <w:sz w:val="24"/>
        </w:rPr>
        <w:t>“本地已发现的原始电子数据”属于计算机文件整理语境，宜改为“现有证据中尚无原始电子数据佐证”。</w:t>
      </w:r>
    </w:p>
    <w:p>
      <w:pPr>
        <w:pStyle w:val="ListNumber"/>
        <w:spacing w:line="360" w:lineRule="auto" w:after="100"/>
      </w:pPr>
      <w:r>
        <w:rPr>
          <w:rFonts w:ascii="宋体" w:hAnsi="宋体" w:eastAsia="宋体"/>
          <w:sz w:val="24"/>
        </w:rPr>
        <w:t>“权限发生事实”宜改为“权限产生的事实依据”。</w:t>
      </w:r>
    </w:p>
    <w:p>
      <w:pPr>
        <w:pStyle w:val="ListNumber"/>
        <w:spacing w:line="360" w:lineRule="auto" w:after="100"/>
      </w:pPr>
      <w:r>
        <w:rPr>
          <w:rFonts w:ascii="宋体" w:hAnsi="宋体" w:eastAsia="宋体"/>
          <w:sz w:val="24"/>
        </w:rPr>
        <w:t>“对由科棚控制的劳动或委托、派工……”语法和客体不清，宜改为“对科棚控制的劳动用工资料、委托合同、派工记录、付款凭证……”</w:t>
      </w:r>
    </w:p>
    <w:p>
      <w:pPr>
        <w:pStyle w:val="ListNumber"/>
        <w:spacing w:line="360" w:lineRule="auto" w:after="100"/>
      </w:pPr>
      <w:r>
        <w:rPr>
          <w:rFonts w:ascii="宋体" w:hAnsi="宋体" w:eastAsia="宋体"/>
          <w:sz w:val="24"/>
        </w:rPr>
        <w:t>“不能……允许其仅作抽象陈述”带有审判指令语气，宜改为“其仅作抽象陈述而未提交所控制的权源材料的，应依法评价相应抗辩的证明力”。</w:t>
      </w:r>
    </w:p>
    <w:p>
      <w:pPr>
        <w:pStyle w:val="ListNumber"/>
        <w:spacing w:line="360" w:lineRule="auto" w:after="100"/>
      </w:pPr>
      <w:r>
        <w:rPr>
          <w:rFonts w:ascii="宋体" w:hAnsi="宋体" w:eastAsia="宋体"/>
          <w:sz w:val="24"/>
        </w:rPr>
        <w:t>“无合法权限来源且未履行必要程序”应按缺乏权源、超越权限、程序欠缺三种情形分别表达。</w:t>
      </w:r>
    </w:p>
    <w:p>
      <w:pPr>
        <w:pStyle w:val="ListNumber"/>
        <w:spacing w:line="360" w:lineRule="auto" w:after="100"/>
      </w:pPr>
      <w:r>
        <w:rPr>
          <w:rFonts w:ascii="宋体" w:hAnsi="宋体" w:eastAsia="宋体"/>
          <w:sz w:val="24"/>
        </w:rPr>
        <w:t>第十节的Bu、Cu、Csu技术符号必须按报告原文使用。</w:t>
      </w:r>
    </w:p>
    <w:p>
      <w:pPr>
        <w:pStyle w:val="Heading1"/>
      </w:pPr>
      <w:r>
        <w:t>三、十五项终审评分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得分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独立终审理由</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 法律严谨度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89</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核心法律关系准确；但鉴定等级技术表述错误，“权源且程序”条件存在逻辑歧义，尚未达到90分放行线。</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 法言法语准确度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94</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已基本法院化；仍有“本地已发现”“权限发生事实”“劳动或委托”等底稿化或不完整表达，未达95分。</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3. 主体适格论证</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正确以原告对科棚直接行为的诉争主张建立程序关联，并明确不预断实体责任；当前行为归属证据弱不等于主体适格论证错误。</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 科棚—城投垃圾处置证据运用</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96</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完整采用条件式，区分实际介入、协调能力、法定管理身份和全部责任，并排除当然自认。当前事实证明力另行仅为10分左右。</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 权限链分析</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已区分民事代理、鉴定委托、施工承揽、劳动任务、项目管理和行政协助；尚需进一步把权限产生、人员身份与书证控制逐项对应。</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 开福棚改投处理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94</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准确尊重生效裁判，又未把其职责传导为科棚授权；对窄诉请与广诉请分别安排第三人或共同被告，程序选择明确。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 因果关系</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62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文书认识到全部关键环节，但当前没有任何争议损坏完成对科棚的行为归属和专业因果证明。低分主要来自证据缺口。</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 诉请可执行性</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可执行化方法正确，但现行请求尚未正式变更，且缺点位附件、修复方法、期限和验收主体，未达85分放行线。</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 城市更新政策准确度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97</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文件名称、文号、施行期限、主要原文和未施行/征求意见文件状态准确，且不溯及评价4月行为。</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10. 政策与民事责任边界</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99</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全文持续说明政策只提供治理背景、调查线索和调解路径，不创设科棚原拆原建、收购或更新义务。</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11. B/C鉴定使用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83</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时间线和不可比性判断正确，但把报告原文Bu、Cu、Cu、Csu写成B、C、C、Csu，属于必须更正的技术错误。</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12. 共有权程序处理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93</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专有部分、个别共有权保护和重大共有事项三分法基本准确；最终仍须通过登记簿和程序申请落实。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13. 法官说服力</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86</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法律诚信度高，能帮助组织审理；但对证据缺口的集中自陈使其更像审理框架，尚不是能够直接支撑原告胜诉的完成稿。</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14. 对抗被告能力</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能抵御法律概念和政策越界攻击，不能抵御行为人、因果关系、控制主体和现行请求不明确的事实攻击。</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 调解方案成熟度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87</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判决与调解分层清楚，并列明协议关键要素；若无开福棚改投、产权人和实际实施主体参加，整栋治理条款仍无法履行。</w:t>
            </w:r>
          </w:p>
        </w:tc>
      </w:tr>
    </w:tbl>
    <w:p>
      <w:pPr>
        <w:spacing w:after="20"/>
      </w:pPr>
    </w:p>
    <w:p>
      <w:pPr>
        <w:pStyle w:val="Heading1"/>
      </w:pPr>
      <w:r>
        <w:t>四、硬性放行标准核验</w:t>
      </w:r>
    </w:p>
    <w:tbl>
      <w:tblPr>
        <w:tblW w:type="auto" w:w="0"/>
        <w:jc w:val="center"/>
        <w:tblLayout w:type="autofit"/>
        <w:tblLook w:firstColumn="1" w:firstRow="1" w:lastColumn="0" w:lastRow="0" w:noHBand="0" w:noVBand="1" w:val="04A0"/>
      </w:tblPr>
      <w:tblGrid>
        <w:gridCol w:w="2239"/>
        <w:gridCol w:w="2239"/>
        <w:gridCol w:w="2239"/>
        <w:gridCol w:w="2239"/>
      </w:tblGrid>
      <w:tr>
        <w:trPr>
          <w:tblHeader/>
        </w:trPr>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硬性指标</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要求</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V2得分</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结果</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法律严谨度</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89</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未通过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法言法语准确度</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94</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未通过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主体适格论证</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92</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城市更新政策准确度</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97</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政策与民事责任边界</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99</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法官说服力</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86</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通过</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诉请可执行性</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82</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sz w:val="20"/>
              </w:rPr>
              <w:t>未通过</w:t>
            </w:r>
          </w:p>
        </w:tc>
      </w:tr>
    </w:tbl>
    <w:p>
      <w:pPr>
        <w:spacing w:after="20"/>
      </w:pPr>
    </w:p>
    <w:p>
      <w:pPr>
        <w:spacing w:line="360" w:lineRule="auto" w:after="100"/>
        <w:ind w:firstLine="420"/>
      </w:pPr>
      <w:r>
        <w:rPr>
          <w:rFonts w:ascii="宋体" w:hAnsi="宋体" w:eastAsia="宋体"/>
          <w:b/>
          <w:sz w:val="24"/>
        </w:rPr>
        <w:t>放行结论：V2不放行，应制作V3。</w:t>
      </w:r>
    </w:p>
    <w:p>
      <w:pPr>
        <w:spacing w:line="360" w:lineRule="auto" w:after="100"/>
        <w:ind w:firstLine="420"/>
      </w:pPr>
      <w:r>
        <w:rPr>
          <w:rFonts w:ascii="宋体" w:hAnsi="宋体" w:eastAsia="宋体"/>
          <w:sz w:val="24"/>
        </w:rPr>
        <w:t>法律严谨度和法言法语准确度可以通过文字修订达到标准。诉请可执行性不能只靠润色：至少需要正式完成诉讼请求变更，并制作点位/管段/障碍物附件、修复方案、履行期限和验收机制。没有这些材料，即使V3语言完善，也只能作为高质量代理意见或诉讼策略说明，不能把“可执行性”虚增至85分以上。</w:t>
      </w:r>
    </w:p>
    <w:p>
      <w:pPr>
        <w:pStyle w:val="Heading1"/>
      </w:pPr>
      <w:r>
        <w:t>五、V3必须完成的修改</w:t>
      </w:r>
    </w:p>
    <w:p>
      <w:pPr>
        <w:pStyle w:val="Heading2"/>
      </w:pPr>
      <w:r>
        <w:t>1. 更正鉴定等级原文</w:t>
      </w:r>
    </w:p>
    <w:p>
      <w:pPr>
        <w:spacing w:line="360" w:lineRule="auto" w:after="100"/>
        <w:ind w:firstLine="420"/>
      </w:pPr>
      <w:r>
        <w:rPr>
          <w:rFonts w:ascii="宋体" w:hAnsi="宋体" w:eastAsia="宋体"/>
          <w:sz w:val="24"/>
        </w:rPr>
        <w:t>V2第十节第一段应改为：</w:t>
      </w:r>
    </w:p>
    <w:p>
      <w:pPr>
        <w:spacing w:line="360" w:lineRule="auto" w:after="120" w:before="80"/>
        <w:ind w:left="397" w:right="170" w:firstLine="0"/>
        <w:shd w:fill="EDF2F7"/>
      </w:pPr>
      <w:r>
        <w:rPr>
          <w:rFonts w:ascii="宋体" w:hAnsi="宋体" w:eastAsia="宋体"/>
          <w:color w:val="17365D"/>
          <w:sz w:val="24"/>
        </w:rPr>
        <w:t>2022年湖南同宇检测有限公司JD-2022-0200报告记载，地基基础子单元安全性等级为Bu级，上部承重结构子单元安全性等级为Cu级，围护系统承重部分子单元安全性等级为Cu级，鉴定单元安全性等级为Csu级。生效行政裁判另行记载，2023年加固后湖南湘力报告认定“该工程现阶段主体结构安全性鉴定等级为B级”。</w:t>
      </w:r>
    </w:p>
    <w:p>
      <w:pPr>
        <w:spacing w:line="360" w:lineRule="auto" w:after="100"/>
        <w:ind w:firstLine="420"/>
      </w:pPr>
      <w:r>
        <w:rPr>
          <w:rFonts w:ascii="宋体" w:hAnsi="宋体" w:eastAsia="宋体"/>
          <w:sz w:val="24"/>
        </w:rPr>
        <w:t>其后不得用“C级或Csu级”概括不同对象；需要涉及政府交办材料称“C级危房”时，应明确这是交办文件的表述，不与报告的Csu等级混写。</w:t>
      </w:r>
    </w:p>
    <w:p>
      <w:pPr>
        <w:pStyle w:val="Heading2"/>
      </w:pPr>
      <w:r>
        <w:t>2. 修正权限和程序的逻辑条件</w:t>
      </w:r>
    </w:p>
    <w:p>
      <w:pPr>
        <w:spacing w:line="360" w:lineRule="auto" w:after="100"/>
        <w:ind w:firstLine="420"/>
      </w:pPr>
      <w:r>
        <w:rPr>
          <w:rFonts w:ascii="宋体" w:hAnsi="宋体" w:eastAsia="宋体"/>
          <w:sz w:val="24"/>
        </w:rPr>
        <w:t>将全文“无合法权限来源且未履行必要程序”改为能够分别覆盖三类情形的表达：</w:t>
      </w:r>
    </w:p>
    <w:p>
      <w:pPr>
        <w:spacing w:line="360" w:lineRule="auto" w:after="120" w:before="80"/>
        <w:ind w:left="397" w:right="170" w:firstLine="0"/>
        <w:shd w:fill="EDF2F7"/>
      </w:pPr>
      <w:r>
        <w:rPr>
          <w:rFonts w:ascii="宋体" w:hAnsi="宋体" w:eastAsia="宋体"/>
          <w:color w:val="17365D"/>
          <w:sz w:val="24"/>
        </w:rPr>
        <w:t>缺乏合法权限来源、超出权限的对象或范围，或者虽有相应权限来源但未履行必要程序。</w:t>
      </w:r>
    </w:p>
    <w:p>
      <w:pPr>
        <w:spacing w:line="360" w:lineRule="auto" w:after="100"/>
        <w:ind w:firstLine="420"/>
      </w:pPr>
      <w:r>
        <w:rPr>
          <w:rFonts w:ascii="宋体" w:hAnsi="宋体" w:eastAsia="宋体"/>
          <w:sz w:val="24"/>
        </w:rPr>
        <w:t>对应停止行为请求可以概括为“停止擅自进入东301并实施特定侵入性操作”，并明确不影响依法实施的紧急避险和具备合法权限、履行必要程序的鉴定或治理。</w:t>
      </w:r>
    </w:p>
    <w:p>
      <w:pPr>
        <w:pStyle w:val="Heading2"/>
      </w:pPr>
      <w:r>
        <w:t>3. 清除内部工作语汇</w:t>
      </w:r>
    </w:p>
    <w:p>
      <w:pPr>
        <w:pStyle w:val="ListBullet"/>
        <w:spacing w:line="360" w:lineRule="auto" w:after="100"/>
      </w:pPr>
      <w:r>
        <w:rPr>
          <w:rFonts w:ascii="宋体" w:hAnsi="宋体" w:eastAsia="宋体"/>
          <w:sz w:val="24"/>
        </w:rPr>
        <w:t>“本地已发现的原始电子数据”改为“现有证据中尚无原始电子数据佐证”；</w:t>
      </w:r>
    </w:p>
    <w:p>
      <w:pPr>
        <w:pStyle w:val="ListBullet"/>
        <w:spacing w:line="360" w:lineRule="auto" w:after="100"/>
      </w:pPr>
      <w:r>
        <w:rPr>
          <w:rFonts w:ascii="宋体" w:hAnsi="宋体" w:eastAsia="宋体"/>
          <w:sz w:val="24"/>
        </w:rPr>
        <w:t>“权限发生事实”改为“权限产生的事实依据”；</w:t>
      </w:r>
    </w:p>
    <w:p>
      <w:pPr>
        <w:pStyle w:val="ListBullet"/>
        <w:spacing w:line="360" w:lineRule="auto" w:after="100"/>
      </w:pPr>
      <w:r>
        <w:rPr>
          <w:rFonts w:ascii="宋体" w:hAnsi="宋体" w:eastAsia="宋体"/>
          <w:sz w:val="24"/>
        </w:rPr>
        <w:t>“劳动或委托、派工”改为“劳动用工资料、委托合同、派工记录”；</w:t>
      </w:r>
    </w:p>
    <w:p>
      <w:pPr>
        <w:pStyle w:val="ListBullet"/>
        <w:spacing w:line="360" w:lineRule="auto" w:after="100"/>
      </w:pPr>
      <w:r>
        <w:rPr>
          <w:rFonts w:ascii="宋体" w:hAnsi="宋体" w:eastAsia="宋体"/>
          <w:sz w:val="24"/>
        </w:rPr>
        <w:t>“不能允许其仅作抽象陈述”改为证据证明力评价语言。</w:t>
      </w:r>
    </w:p>
    <w:p>
      <w:pPr>
        <w:pStyle w:val="Heading2"/>
      </w:pPr>
      <w:r>
        <w:t>4. 统一“已提交证据”与“案涉现有材料”</w:t>
      </w:r>
    </w:p>
    <w:p>
      <w:pPr>
        <w:spacing w:line="360" w:lineRule="auto" w:after="100"/>
        <w:ind w:firstLine="420"/>
      </w:pPr>
      <w:r>
        <w:rPr>
          <w:rFonts w:ascii="宋体" w:hAnsi="宋体" w:eastAsia="宋体"/>
          <w:sz w:val="24"/>
        </w:rPr>
        <w:t>V2开头称“依据已经提交的证据”，但正文引用的2022年报告、生效裁判等是否均已进入本案证据目录尚需核对。V3应逐项核实后作以下二选一处理：</w:t>
      </w:r>
    </w:p>
    <w:p>
      <w:pPr>
        <w:pStyle w:val="ListBullet"/>
        <w:spacing w:line="360" w:lineRule="auto" w:after="100"/>
      </w:pPr>
      <w:r>
        <w:rPr>
          <w:rFonts w:ascii="宋体" w:hAnsi="宋体" w:eastAsia="宋体"/>
          <w:sz w:val="24"/>
        </w:rPr>
        <w:t>已经提交的，标明证据名称及目录编号；</w:t>
      </w:r>
    </w:p>
    <w:p>
      <w:pPr>
        <w:pStyle w:val="ListBullet"/>
        <w:spacing w:line="360" w:lineRule="auto" w:after="100"/>
      </w:pPr>
      <w:r>
        <w:rPr>
          <w:rFonts w:ascii="宋体" w:hAnsi="宋体" w:eastAsia="宋体"/>
          <w:sz w:val="24"/>
        </w:rPr>
        <w:t>尚未提交的，写为“原告拟在举证期限内补充提交”，不得当作法院已经受领、质证的证据。</w:t>
      </w:r>
    </w:p>
    <w:p>
      <w:pPr>
        <w:pStyle w:val="Heading2"/>
      </w:pPr>
      <w:r>
        <w:t>5. 把最终诉请实际写成可执行文本</w:t>
      </w:r>
    </w:p>
    <w:p>
      <w:pPr>
        <w:spacing w:line="360" w:lineRule="auto" w:after="100"/>
        <w:ind w:firstLine="420"/>
      </w:pPr>
      <w:r>
        <w:rPr>
          <w:rFonts w:ascii="宋体" w:hAnsi="宋体" w:eastAsia="宋体"/>
          <w:sz w:val="24"/>
        </w:rPr>
        <w:t>V3不得只写“将根据调查另行变更”。至少应与一份正式《变更、明确诉讼请求申请书》同步，形成以下结构：</w:t>
      </w:r>
    </w:p>
    <w:p>
      <w:pPr>
        <w:pStyle w:val="ListNumber"/>
        <w:spacing w:line="360" w:lineRule="auto" w:after="100"/>
      </w:pPr>
      <w:r>
        <w:rPr>
          <w:rFonts w:ascii="宋体" w:hAnsi="宋体" w:eastAsia="宋体"/>
          <w:sz w:val="24"/>
        </w:rPr>
        <w:t>主位请求：停止科棚经证据证明的、针对东301的擅自进入及特定侵入性操作；</w:t>
      </w:r>
    </w:p>
    <w:p>
      <w:pPr>
        <w:pStyle w:val="ListNumber"/>
        <w:spacing w:line="360" w:lineRule="auto" w:after="100"/>
      </w:pPr>
      <w:r>
        <w:rPr>
          <w:rFonts w:ascii="宋体" w:hAnsi="宋体" w:eastAsia="宋体"/>
          <w:sz w:val="24"/>
        </w:rPr>
        <w:t>具体修复请求：仅针对已经完成行为归属证明的编号点位，附位置、尺寸、合理修复方案、施工资质、履行期限和验收方法；</w:t>
      </w:r>
    </w:p>
    <w:p>
      <w:pPr>
        <w:pStyle w:val="ListNumber"/>
        <w:spacing w:line="360" w:lineRule="auto" w:after="100"/>
      </w:pPr>
      <w:r>
        <w:rPr>
          <w:rFonts w:ascii="宋体" w:hAnsi="宋体" w:eastAsia="宋体"/>
          <w:sz w:val="24"/>
        </w:rPr>
        <w:t>建筑废料、排水、围挡：只有在补足点位、形成或控制主体及具体履行标准后提出；否则作为调查后的变更事项或调解事项；</w:t>
      </w:r>
    </w:p>
    <w:p>
      <w:pPr>
        <w:pStyle w:val="ListNumber"/>
        <w:spacing w:line="360" w:lineRule="auto" w:after="100"/>
      </w:pPr>
      <w:r>
        <w:rPr>
          <w:rFonts w:ascii="宋体" w:hAnsi="宋体" w:eastAsia="宋体"/>
          <w:sz w:val="24"/>
        </w:rPr>
        <w:t>整栋修缮加固、安全使用结果：不得在缺少当前安全结论和对科棚因果证明时直接向科棚提出；涉及开福棚改投时应分列主体和义务；</w:t>
      </w:r>
    </w:p>
    <w:p>
      <w:pPr>
        <w:pStyle w:val="ListNumber"/>
        <w:spacing w:line="360" w:lineRule="auto" w:after="100"/>
      </w:pPr>
      <w:r>
        <w:rPr>
          <w:rFonts w:ascii="宋体" w:hAnsi="宋体" w:eastAsia="宋体"/>
          <w:sz w:val="24"/>
        </w:rPr>
        <w:t>一屋一策、城市更新、原拆原建、收购置换：只列为调解目标，不写入法院直接判项。</w:t>
      </w:r>
    </w:p>
    <w:p>
      <w:pPr>
        <w:pStyle w:val="Heading2"/>
      </w:pPr>
      <w:r>
        <w:t>6. 把证据不足与法律意见分卷表达</w:t>
      </w:r>
    </w:p>
    <w:p>
      <w:pPr>
        <w:spacing w:line="360" w:lineRule="auto" w:after="100"/>
        <w:ind w:firstLine="420"/>
      </w:pPr>
      <w:r>
        <w:rPr>
          <w:rFonts w:ascii="宋体" w:hAnsi="宋体" w:eastAsia="宋体"/>
          <w:sz w:val="24"/>
        </w:rPr>
        <w:t>正式代理意见可以克制说明证明边界，但不宜把全部补证工作流写成正文主体。建议将具体缺口、持有人、调查方式移入《开庭前必须补强的证据和程序事项》及调查取证申请；代理意见正文围绕已经形成的证据链和需法院处理的具体争点展开。这样既不隐瞒缺口，也避免文书呈现为尚未完成的调查提纲。</w:t>
      </w:r>
    </w:p>
    <w:p>
      <w:pPr>
        <w:pStyle w:val="Heading2"/>
      </w:pPr>
      <w:r>
        <w:t>7. 追加开福棚改投的程序选择必须落地</w:t>
      </w:r>
    </w:p>
    <w:p>
      <w:pPr>
        <w:spacing w:line="360" w:lineRule="auto" w:after="100"/>
        <w:ind w:firstLine="420"/>
      </w:pPr>
      <w:r>
        <w:rPr>
          <w:rFonts w:ascii="宋体" w:hAnsi="宋体" w:eastAsia="宋体"/>
          <w:sz w:val="24"/>
        </w:rPr>
        <w:t>如果最终保留共有部位建筑废料、共同排水、围挡、整栋修缮加固或安全使用功能恢复请求，应在举证期限内申请追加开福棚改投为共同被告并分别列明请求；如果最终只保留科棚被诉入户和具体孔洞修复，则不将开福棚改投列为共同被告，仅通过第三人参加、证人出庭或法院调查查明授权链。</w:t>
      </w:r>
    </w:p>
    <w:p>
      <w:pPr>
        <w:pStyle w:val="Heading1"/>
      </w:pPr>
      <w:r>
        <w:t>六、哪些问题不能通过V3文字修改解决</w:t>
      </w:r>
    </w:p>
    <w:p>
      <w:pPr>
        <w:pStyle w:val="ListNumber"/>
        <w:spacing w:line="360" w:lineRule="auto" w:after="100"/>
      </w:pPr>
      <w:r>
        <w:rPr>
          <w:rFonts w:ascii="宋体" w:hAnsi="宋体" w:eastAsia="宋体"/>
          <w:sz w:val="24"/>
        </w:rPr>
        <w:t>科棚人员或受其指示人员与2026年入户、钻孔之间缺少原始证明；</w:t>
      </w:r>
    </w:p>
    <w:p>
      <w:pPr>
        <w:pStyle w:val="ListNumber"/>
        <w:spacing w:line="360" w:lineRule="auto" w:after="100"/>
      </w:pPr>
      <w:r>
        <w:rPr>
          <w:rFonts w:ascii="宋体" w:hAnsi="宋体" w:eastAsia="宋体"/>
          <w:sz w:val="24"/>
        </w:rPr>
        <w:t>报警回执不含现场事实，完整接处警、执法记录和原始音视频未取得；</w:t>
      </w:r>
    </w:p>
    <w:p>
      <w:pPr>
        <w:pStyle w:val="ListNumber"/>
        <w:spacing w:line="360" w:lineRule="auto" w:after="100"/>
      </w:pPr>
      <w:r>
        <w:rPr>
          <w:rFonts w:ascii="宋体" w:hAnsi="宋体" w:eastAsia="宋体"/>
          <w:sz w:val="24"/>
        </w:rPr>
        <w:t>孔洞照片缺地点、时间、行为前状态及行为人证明；</w:t>
      </w:r>
    </w:p>
    <w:p>
      <w:pPr>
        <w:pStyle w:val="ListNumber"/>
        <w:spacing w:line="360" w:lineRule="auto" w:after="100"/>
      </w:pPr>
      <w:r>
        <w:rPr>
          <w:rFonts w:ascii="宋体" w:hAnsi="宋体" w:eastAsia="宋体"/>
          <w:sz w:val="24"/>
        </w:rPr>
        <w:t>垃圾清运缺清运通知、工作群、派工、费用、实施法人及前后影像；</w:t>
      </w:r>
    </w:p>
    <w:p>
      <w:pPr>
        <w:pStyle w:val="ListNumber"/>
        <w:spacing w:line="360" w:lineRule="auto" w:after="100"/>
      </w:pPr>
      <w:r>
        <w:rPr>
          <w:rFonts w:ascii="宋体" w:hAnsi="宋体" w:eastAsia="宋体"/>
          <w:sz w:val="24"/>
        </w:rPr>
        <w:t>建筑废料、排水、围挡缺形成或控制主体和因果证明；</w:t>
      </w:r>
    </w:p>
    <w:p>
      <w:pPr>
        <w:pStyle w:val="ListNumber"/>
        <w:spacing w:line="360" w:lineRule="auto" w:after="100"/>
      </w:pPr>
      <w:r>
        <w:rPr>
          <w:rFonts w:ascii="宋体" w:hAnsi="宋体" w:eastAsia="宋体"/>
          <w:sz w:val="24"/>
        </w:rPr>
        <w:t>“东301”“303房”及旧门牌之间缺登记机关的同一性证明；</w:t>
      </w:r>
    </w:p>
    <w:p>
      <w:pPr>
        <w:pStyle w:val="ListNumber"/>
        <w:spacing w:line="360" w:lineRule="auto" w:after="100"/>
      </w:pPr>
      <w:r>
        <w:rPr>
          <w:rFonts w:ascii="宋体" w:hAnsi="宋体" w:eastAsia="宋体"/>
          <w:sz w:val="24"/>
        </w:rPr>
        <w:t>缺2023年湖南湘力完整报告及任何2026年现状安全报告；</w:t>
      </w:r>
    </w:p>
    <w:p>
      <w:pPr>
        <w:pStyle w:val="ListNumber"/>
        <w:spacing w:line="360" w:lineRule="auto" w:after="100"/>
      </w:pPr>
      <w:r>
        <w:rPr>
          <w:rFonts w:ascii="宋体" w:hAnsi="宋体" w:eastAsia="宋体"/>
          <w:sz w:val="24"/>
        </w:rPr>
        <w:t>缺整栋最新权利人登记、楠木厅12号项目入库和具体治理方案文件。</w:t>
      </w:r>
    </w:p>
    <w:p>
      <w:pPr>
        <w:spacing w:line="360" w:lineRule="auto" w:after="100"/>
        <w:ind w:firstLine="420"/>
      </w:pPr>
      <w:r>
        <w:rPr>
          <w:rFonts w:ascii="宋体" w:hAnsi="宋体" w:eastAsia="宋体"/>
          <w:sz w:val="24"/>
        </w:rPr>
        <w:t>上述缺口将继续压低因果关系、对抗能力和当前实体胜诉概率。V3应明确提示风险，不得把文书合格分数等同于案件胜诉概率。</w:t>
      </w:r>
    </w:p>
    <w:p>
      <w:pPr>
        <w:pStyle w:val="Heading1"/>
      </w:pPr>
      <w:r>
        <w:t>七、五个硬结论</w:t>
      </w:r>
    </w:p>
    <w:p>
      <w:pPr>
        <w:pStyle w:val="Heading2"/>
      </w:pPr>
      <w:r>
        <w:t>结论1：科棚是否具有本案被告主体适格性</w:t>
      </w:r>
    </w:p>
    <w:p>
      <w:pPr>
        <w:spacing w:line="360" w:lineRule="auto" w:after="100"/>
        <w:ind w:firstLine="420"/>
      </w:pPr>
      <w:r>
        <w:rPr>
          <w:rFonts w:ascii="宋体" w:hAnsi="宋体" w:eastAsia="宋体"/>
          <w:b/>
          <w:sz w:val="24"/>
        </w:rPr>
        <w:t>结论：科棚就原告明确指向其提出的2026年入户、侵入性检测及相应修复请求，系本案适格被告。置信度：90%。</w:t>
      </w:r>
    </w:p>
    <w:p>
      <w:pPr>
        <w:spacing w:line="360" w:lineRule="auto" w:after="100"/>
        <w:ind w:firstLine="420"/>
      </w:pPr>
      <w:r>
        <w:rPr>
          <w:rFonts w:ascii="宋体" w:hAnsi="宋体" w:eastAsia="宋体"/>
          <w:sz w:val="24"/>
        </w:rPr>
        <w:t>该结论基于原告诉争主张所形成的程序关联，不等于原告已经证明科棚实施该行为，更不等于科棚承担整栋楼全部治理责任。以现有证据判断科棚应承担某项实体责任的置信度仅约25%。</w:t>
      </w:r>
    </w:p>
    <w:p>
      <w:pPr>
        <w:pStyle w:val="Heading2"/>
      </w:pPr>
      <w:r>
        <w:t>结论2：诉后清运生活垃圾的证明价值</w:t>
      </w:r>
    </w:p>
    <w:p>
      <w:pPr>
        <w:spacing w:line="360" w:lineRule="auto" w:after="100"/>
        <w:ind w:firstLine="420"/>
      </w:pPr>
      <w:r>
        <w:rPr>
          <w:rFonts w:ascii="宋体" w:hAnsi="宋体" w:eastAsia="宋体"/>
          <w:b/>
          <w:sz w:val="24"/>
        </w:rPr>
        <w:t>在尚无原始证据的当前状态下，法官心证影响约10/100。</w:t>
      </w:r>
      <w:r>
        <w:rPr>
          <w:rFonts w:ascii="宋体" w:hAnsi="宋体" w:eastAsia="宋体"/>
          <w:sz w:val="24"/>
        </w:rPr>
        <w:t>若由原始电子数据、实施主体说明和前后影像完整证实：</w:t>
      </w:r>
    </w:p>
    <w:p>
      <w:pPr>
        <w:pStyle w:val="ListBullet"/>
        <w:spacing w:line="360" w:lineRule="auto" w:after="100"/>
      </w:pPr>
      <w:r>
        <w:rPr>
          <w:rFonts w:ascii="宋体" w:hAnsi="宋体" w:eastAsia="宋体"/>
          <w:sz w:val="24"/>
        </w:rPr>
        <w:t>对科棚被告主体适格性的补强价值：</w:t>
      </w:r>
      <w:r>
        <w:rPr>
          <w:rFonts w:ascii="宋体" w:hAnsi="宋体" w:eastAsia="宋体"/>
          <w:b/>
          <w:sz w:val="24"/>
        </w:rPr>
        <w:t>65/100</w:t>
      </w:r>
      <w:r>
        <w:rPr>
          <w:rFonts w:ascii="宋体" w:hAnsi="宋体" w:eastAsia="宋体"/>
          <w:sz w:val="24"/>
        </w:rPr>
        <w:t>；</w:t>
      </w:r>
    </w:p>
    <w:p>
      <w:pPr>
        <w:pStyle w:val="ListBullet"/>
        <w:spacing w:line="360" w:lineRule="auto" w:after="100"/>
      </w:pPr>
      <w:r>
        <w:rPr>
          <w:rFonts w:ascii="宋体" w:hAnsi="宋体" w:eastAsia="宋体"/>
          <w:sz w:val="24"/>
        </w:rPr>
        <w:t>对科棚现实参与楼栋事务的证明价值：</w:t>
      </w:r>
      <w:r>
        <w:rPr>
          <w:rFonts w:ascii="宋体" w:hAnsi="宋体" w:eastAsia="宋体"/>
          <w:b/>
          <w:sz w:val="24"/>
        </w:rPr>
        <w:t>85/100</w:t>
      </w:r>
      <w:r>
        <w:rPr>
          <w:rFonts w:ascii="宋体" w:hAnsi="宋体" w:eastAsia="宋体"/>
          <w:sz w:val="24"/>
        </w:rPr>
        <w:t>；</w:t>
      </w:r>
    </w:p>
    <w:p>
      <w:pPr>
        <w:pStyle w:val="ListBullet"/>
        <w:spacing w:line="360" w:lineRule="auto" w:after="100"/>
      </w:pPr>
      <w:r>
        <w:rPr>
          <w:rFonts w:ascii="宋体" w:hAnsi="宋体" w:eastAsia="宋体"/>
          <w:sz w:val="24"/>
        </w:rPr>
        <w:t>对科棚具有一定协调处置能力的证明价值：</w:t>
      </w:r>
      <w:r>
        <w:rPr>
          <w:rFonts w:ascii="宋体" w:hAnsi="宋体" w:eastAsia="宋体"/>
          <w:b/>
          <w:sz w:val="24"/>
        </w:rPr>
        <w:t>78/100</w:t>
      </w:r>
      <w:r>
        <w:rPr>
          <w:rFonts w:ascii="宋体" w:hAnsi="宋体" w:eastAsia="宋体"/>
          <w:sz w:val="24"/>
        </w:rPr>
        <w:t>；</w:t>
      </w:r>
    </w:p>
    <w:p>
      <w:pPr>
        <w:pStyle w:val="ListBullet"/>
        <w:spacing w:line="360" w:lineRule="auto" w:after="100"/>
      </w:pPr>
      <w:r>
        <w:rPr>
          <w:rFonts w:ascii="宋体" w:hAnsi="宋体" w:eastAsia="宋体"/>
          <w:sz w:val="24"/>
        </w:rPr>
        <w:t>对科棚系法定管理主体的证明价值：</w:t>
      </w:r>
      <w:r>
        <w:rPr>
          <w:rFonts w:ascii="宋体" w:hAnsi="宋体" w:eastAsia="宋体"/>
          <w:b/>
          <w:sz w:val="24"/>
        </w:rPr>
        <w:t>20/100</w:t>
      </w:r>
      <w:r>
        <w:rPr>
          <w:rFonts w:ascii="宋体" w:hAnsi="宋体" w:eastAsia="宋体"/>
          <w:sz w:val="24"/>
        </w:rPr>
        <w:t>；</w:t>
      </w:r>
    </w:p>
    <w:p>
      <w:pPr>
        <w:pStyle w:val="ListBullet"/>
        <w:spacing w:line="360" w:lineRule="auto" w:after="100"/>
      </w:pPr>
      <w:r>
        <w:rPr>
          <w:rFonts w:ascii="宋体" w:hAnsi="宋体" w:eastAsia="宋体"/>
          <w:sz w:val="24"/>
        </w:rPr>
        <w:t>对科棚承担建筑废料、排水、围挡及全部历史责任的直接证明价值：</w:t>
      </w:r>
      <w:r>
        <w:rPr>
          <w:rFonts w:ascii="宋体" w:hAnsi="宋体" w:eastAsia="宋体"/>
          <w:b/>
          <w:sz w:val="24"/>
        </w:rPr>
        <w:t>10/100</w:t>
      </w:r>
      <w:r>
        <w:rPr>
          <w:rFonts w:ascii="宋体" w:hAnsi="宋体" w:eastAsia="宋体"/>
          <w:sz w:val="24"/>
        </w:rPr>
        <w:t>。</w:t>
      </w:r>
    </w:p>
    <w:p>
      <w:pPr>
        <w:pStyle w:val="Heading2"/>
      </w:pPr>
      <w:r>
        <w:t>结论3：长沙2026城市更新政策能否支持转换诉讼主线</w:t>
      </w:r>
    </w:p>
    <w:p>
      <w:pPr>
        <w:spacing w:line="360" w:lineRule="auto" w:after="100"/>
        <w:ind w:firstLine="420"/>
      </w:pPr>
      <w:r>
        <w:rPr>
          <w:rFonts w:ascii="宋体" w:hAnsi="宋体" w:eastAsia="宋体"/>
          <w:b/>
          <w:sz w:val="24"/>
        </w:rPr>
        <w:t>结论：可以。支持度：88/100。</w:t>
      </w:r>
    </w:p>
    <w:p>
      <w:pPr>
        <w:spacing w:line="360" w:lineRule="auto" w:after="100"/>
        <w:ind w:firstLine="420"/>
      </w:pPr>
      <w:r>
        <w:rPr>
          <w:rFonts w:ascii="宋体" w:hAnsi="宋体" w:eastAsia="宋体"/>
          <w:sz w:val="24"/>
        </w:rPr>
        <w:t>政策足以支持把抽象“恢复原状”的论述转换为“排除具体妨害＋恢复相应正常、安全使用功能＋依法选择治理路径”，并支持法院查明鉴定后的治理、问题闭环和潮宗街保护修缮安排。但民事判项仍须以科棚的具体行为、义务来源、控制状态和因果关系为基础；政策不能填补这些要件。</w:t>
      </w:r>
    </w:p>
    <w:p>
      <w:pPr>
        <w:pStyle w:val="Heading2"/>
      </w:pPr>
      <w:r>
        <w:t>结论4：是否建议追加开福棚改投</w:t>
      </w:r>
    </w:p>
    <w:p>
      <w:pPr>
        <w:spacing w:line="360" w:lineRule="auto" w:after="100"/>
        <w:ind w:firstLine="420"/>
      </w:pPr>
      <w:r>
        <w:rPr>
          <w:rFonts w:ascii="宋体" w:hAnsi="宋体" w:eastAsia="宋体"/>
          <w:b/>
          <w:sz w:val="24"/>
        </w:rPr>
        <w:t>结论：如维持广泛恢复目标，建议追加开福棚改投为共同被告；如仅审理科棚直接入户及具体孔洞修复，不建议作为共同被告追加。整体建议置信度：90%。</w:t>
      </w:r>
    </w:p>
    <w:p>
      <w:pPr>
        <w:pStyle w:val="ListBullet"/>
        <w:spacing w:line="360" w:lineRule="auto" w:after="100"/>
      </w:pPr>
      <w:r>
        <w:rPr>
          <w:rFonts w:ascii="宋体" w:hAnsi="宋体" w:eastAsia="宋体"/>
          <w:sz w:val="24"/>
        </w:rPr>
        <w:t>窄诉请下追加必要性：</w:t>
      </w:r>
      <w:r>
        <w:rPr>
          <w:rFonts w:ascii="宋体" w:hAnsi="宋体" w:eastAsia="宋体"/>
          <w:b/>
          <w:sz w:val="24"/>
        </w:rPr>
        <w:t>30/100</w:t>
      </w:r>
      <w:r>
        <w:rPr>
          <w:rFonts w:ascii="宋体" w:hAnsi="宋体" w:eastAsia="宋体"/>
          <w:sz w:val="24"/>
        </w:rPr>
        <w:t>；</w:t>
      </w:r>
    </w:p>
    <w:p>
      <w:pPr>
        <w:pStyle w:val="ListBullet"/>
        <w:spacing w:line="360" w:lineRule="auto" w:after="100"/>
      </w:pPr>
      <w:r>
        <w:rPr>
          <w:rFonts w:ascii="宋体" w:hAnsi="宋体" w:eastAsia="宋体"/>
          <w:sz w:val="24"/>
        </w:rPr>
        <w:t>广诉请下追加必要性：</w:t>
      </w:r>
      <w:r>
        <w:rPr>
          <w:rFonts w:ascii="宋体" w:hAnsi="宋体" w:eastAsia="宋体"/>
          <w:b/>
          <w:sz w:val="24"/>
        </w:rPr>
        <w:t>88/100</w:t>
      </w:r>
      <w:r>
        <w:rPr>
          <w:rFonts w:ascii="宋体" w:hAnsi="宋体" w:eastAsia="宋体"/>
          <w:sz w:val="24"/>
        </w:rPr>
        <w:t>。</w:t>
      </w:r>
    </w:p>
    <w:p>
      <w:pPr>
        <w:spacing w:line="360" w:lineRule="auto" w:after="100"/>
        <w:ind w:firstLine="420"/>
      </w:pPr>
      <w:r>
        <w:rPr>
          <w:rFonts w:ascii="宋体" w:hAnsi="宋体" w:eastAsia="宋体"/>
          <w:sz w:val="24"/>
        </w:rPr>
        <w:t>追加后必须分别列明对科棚、开福棚改投的请求权基础和给付内容，不得主张职责或责任自动传导。</w:t>
      </w:r>
    </w:p>
    <w:p>
      <w:pPr>
        <w:pStyle w:val="Heading2"/>
      </w:pPr>
      <w:r>
        <w:t>结论5：最优裁判主线与最优调解主线</w:t>
      </w:r>
    </w:p>
    <w:p>
      <w:pPr>
        <w:spacing w:line="360" w:lineRule="auto" w:after="100"/>
        <w:ind w:firstLine="420"/>
      </w:pPr>
      <w:r>
        <w:rPr>
          <w:rFonts w:ascii="宋体" w:hAnsi="宋体" w:eastAsia="宋体"/>
          <w:b/>
          <w:sz w:val="24"/>
        </w:rPr>
        <w:t>最优裁判主线：</w:t>
      </w:r>
      <w:r>
        <w:rPr>
          <w:rFonts w:ascii="宋体" w:hAnsi="宋体" w:eastAsia="宋体"/>
          <w:sz w:val="24"/>
        </w:rPr>
        <w:t>在补足行为归属证据后，判令科棚停止针对东301的擅自侵入性操作，并按编号点位修复其直接组织、指示或者其工作人员执行工作任务造成的具体损坏；其他楼栋级请求按各自责任主体和因果关系另行审查。</w:t>
      </w:r>
    </w:p>
    <w:p>
      <w:pPr>
        <w:spacing w:line="360" w:lineRule="auto" w:after="100"/>
        <w:ind w:firstLine="420"/>
      </w:pPr>
      <w:r>
        <w:rPr>
          <w:rFonts w:ascii="宋体" w:hAnsi="宋体" w:eastAsia="宋体"/>
          <w:b/>
          <w:sz w:val="24"/>
        </w:rPr>
        <w:t>最优调解主线：</w:t>
      </w:r>
      <w:r>
        <w:rPr>
          <w:rFonts w:ascii="宋体" w:hAnsi="宋体" w:eastAsia="宋体"/>
          <w:sz w:val="24"/>
        </w:rPr>
        <w:t>由科棚、开福棚改投、相关产权人和实际实施主体共同达成“两阶段一揽子方案”：第一阶段限期完成垃圾分类清运、排水检测及修复、安全通行和孔洞修复；第二阶段由专业机构形成针对楠木厅12号的具体治理方案，依法完成修缮加固、复核和销号，并设置审批未通过时的替代履行；产权收购或置换仅作为双方自愿的终局备选。</w:t>
      </w:r>
    </w:p>
    <w:p>
      <w:pPr>
        <w:pStyle w:val="Heading1"/>
      </w:pPr>
      <w:r>
        <w:t>八、预计V3放行条件</w:t>
      </w:r>
    </w:p>
    <w:p>
      <w:pPr>
        <w:spacing w:line="360" w:lineRule="auto" w:after="100"/>
        <w:ind w:firstLine="420"/>
      </w:pPr>
      <w:r>
        <w:rPr>
          <w:rFonts w:ascii="宋体" w:hAnsi="宋体" w:eastAsia="宋体"/>
          <w:sz w:val="24"/>
        </w:rPr>
        <w:t>如V3完成本报告第五部分第1至第7项修改，且正式诉讼请求申请及点位附件同步形成，文书层面的预计分数可以达到：法律严谨度94、法言法语准确度97、主体适格论证93、政策准确度97、政策与民事责任边界99、法官说服力89、诉请可执行性87，达到硬性放行标准。</w:t>
      </w:r>
    </w:p>
    <w:p>
      <w:pPr>
        <w:spacing w:line="360" w:lineRule="auto" w:after="100"/>
        <w:ind w:firstLine="420"/>
      </w:pPr>
      <w:r>
        <w:rPr>
          <w:rFonts w:ascii="宋体" w:hAnsi="宋体" w:eastAsia="宋体"/>
          <w:sz w:val="24"/>
        </w:rPr>
        <w:t>如果没有正式变更诉讼请求和点位/修复/验收附件，诉请可执行性不得评分超过84；如果没有补足本报告第六部分的原始证据，因果关系、对抗被告能力和当前实体胜诉概率仍将维持低位，即使文书形式上可以放行，也必须在最终评分报告中明确列示该限制。</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Final_Reviewer_V2</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