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Defense Reviewer V1</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pStyle w:val="Heading1"/>
      </w:pPr>
      <w:r>
        <w:t>审查身份与结论摘要</w:t>
      </w:r>
    </w:p>
    <w:p>
      <w:pPr>
        <w:spacing w:line="360" w:lineRule="auto" w:after="100"/>
        <w:ind w:firstLine="420"/>
      </w:pPr>
      <w:r>
        <w:rPr>
          <w:rFonts w:ascii="宋体" w:hAnsi="宋体" w:eastAsia="宋体"/>
          <w:sz w:val="24"/>
        </w:rPr>
        <w:t>审查身份：长沙科棚潮宗街商业管理有限公司委托诉讼代理人。 审查对象：《新版代理意见_长沙城市更新政策综合重构版_V1》及现有事实—证据矩阵。 审查立场：不接受原告叙事前提，不以替原告完善证据为目的；以下“补救可能”仅用于评估抗辩的稳定程度。</w:t>
      </w:r>
    </w:p>
    <w:p>
      <w:pPr>
        <w:spacing w:line="360" w:lineRule="auto" w:after="100"/>
        <w:ind w:firstLine="420"/>
      </w:pPr>
      <w:r>
        <w:rPr>
          <w:rFonts w:ascii="宋体" w:hAnsi="宋体" w:eastAsia="宋体"/>
          <w:b/>
          <w:sz w:val="24"/>
        </w:rPr>
        <w:t>总体结论：V1在法律与政策边界上明显较为克制，但其核心事实链目前仍未形成。原告尚不能以现存证据证明科棚实施、组织、指示或授权他人进入东301并钻孔，也不能证明建筑垃圾、排水异常、围挡或整栋楼安全状态与科棚之间存在因果关系或义务来源。</w:t>
      </w:r>
      <w:r>
        <w:rPr>
          <w:rFonts w:ascii="宋体" w:hAnsi="宋体" w:eastAsia="宋体"/>
          <w:sz w:val="24"/>
        </w:rPr>
        <w:t>V1多次主动承认关键证据缺失；这些承认足以使其关于科棚具体责任的主要论证停留在调查线索，而非达到民事诉讼高度盖然性标准。科棚可承认其与潮宗街运营事务存在一般业务接触，但应否认该一般联系能够替代对每一被诉行为、每一现存妨害及每一给付结果的举证。</w:t>
      </w:r>
    </w:p>
    <w:p>
      <w:pPr>
        <w:spacing w:line="360" w:lineRule="auto" w:after="100"/>
        <w:ind w:firstLine="420"/>
      </w:pPr>
      <w:r>
        <w:rPr>
          <w:rFonts w:ascii="宋体" w:hAnsi="宋体" w:eastAsia="宋体"/>
          <w:sz w:val="24"/>
        </w:rPr>
        <w:t>从被告立场看，本案需要严格区分：一是原告以其陈述将科棚列为被告，法院是否允许案件进入实体审理；二是科棚是否实际实施或依法应当排除某项妨害。即使法院不在程序上否定科棚被告主体适格性，现有证据仍不足以支持针对科棚的多数实体诉讼请求。</w:t>
      </w:r>
    </w:p>
    <w:p>
      <w:pPr>
        <w:pStyle w:val="Heading1"/>
      </w:pPr>
      <w:r>
        <w:t>一、逐项抗辩清单</w:t>
      </w:r>
    </w:p>
    <w:p>
      <w:pPr>
        <w:spacing w:line="360" w:lineRule="auto" w:after="100"/>
        <w:ind w:firstLine="420"/>
      </w:pPr>
      <w:r>
        <w:rPr>
          <w:rFonts w:ascii="宋体" w:hAnsi="宋体" w:eastAsia="宋体"/>
          <w:sz w:val="24"/>
        </w:rPr>
        <w:t>说明：“强度”以现有项目材料为基准；原告后续提交未经审查的新证据时，评分应重新评估。</w:t>
      </w:r>
    </w:p>
    <w:tbl>
      <w:tblPr>
        <w:tblW w:type="auto" w:w="0"/>
        <w:jc w:val="center"/>
        <w:tblLayout w:type="autofit"/>
        <w:tblLook w:firstColumn="1" w:firstRow="1" w:lastColumn="0" w:lastRow="0" w:noHBand="0" w:noVBand="1" w:val="04A0"/>
      </w:tblPr>
      <w:tblGrid>
        <w:gridCol w:w="1493"/>
        <w:gridCol w:w="1493"/>
        <w:gridCol w:w="1493"/>
        <w:gridCol w:w="1493"/>
        <w:gridCol w:w="1493"/>
        <w:gridCol w:w="1493"/>
      </w:tblGrid>
      <w:tr>
        <w:trPr>
          <w:tblHeader/>
        </w:trPr>
        <w:tc>
          <w:tcPr>
            <w:tcW w:type="dxa" w:w="1493"/>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19"/>
              </w:rPr>
              <w:t>编号</w:t>
            </w:r>
          </w:p>
        </w:tc>
        <w:tc>
          <w:tcPr>
            <w:tcW w:type="dxa" w:w="1493"/>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19"/>
              </w:rPr>
              <w:t>抗辩点</w:t>
            </w:r>
          </w:p>
        </w:tc>
        <w:tc>
          <w:tcPr>
            <w:tcW w:type="dxa" w:w="1493"/>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19"/>
              </w:rPr>
              <w:t>强度</w:t>
            </w:r>
          </w:p>
        </w:tc>
        <w:tc>
          <w:tcPr>
            <w:tcW w:type="dxa" w:w="1493"/>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19"/>
              </w:rPr>
              <w:t>所击破的事实或法律环节</w:t>
            </w:r>
          </w:p>
        </w:tc>
        <w:tc>
          <w:tcPr>
            <w:tcW w:type="dxa" w:w="1493"/>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19"/>
              </w:rPr>
              <w:t>被告论证</w:t>
            </w:r>
          </w:p>
        </w:tc>
        <w:tc>
          <w:tcPr>
            <w:tcW w:type="dxa" w:w="1493"/>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19"/>
              </w:rPr>
              <w:t>原告补救可能</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原告尚未证明“东301”与权证、行政裁判所载“303房”“栗木巷002号002栋303房”为同一不动产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92</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请求权主体、诉争标的特定化</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现有门牌表述不一致；一份标注“非官方文件、仅作示意”的所谓不动产权证不能作为证据。若不能证明诉称房屋即其登记房屋，专有部分请求权基础尚未完成。</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中。取得登记簿、门牌沿革及房屋平面对应证明后可补，但目前未提交。</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报警回执仅证明李燕于2026年4月27日报警，不证明4月19日事实、科棚人员身份、进入或钻孔</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被告行为归属</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回执没有警情内容，也没有被告、潘勇、鉴定或钻孔记载；报警人与原告不同。不能以“发生报警”证明“报警所述事实真实”。</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中低。只有完整接处警资料、执法记录、询问笔录能够补；且其内容未知。</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现场照片不能证明拍摄地点、时间及形成者</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96</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损害客观性、因果关系</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照片无可核验原始载体、元数据、全景定位或现场标志，只能反映画面外观。不能证明为东301，更不能证明由科棚形成。</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中。需原始载体、连续全景、证人或勘验相互印证；现有卷宗没有。</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无“受损前”状态证据，不能证明孔洞、开槽系2026年新增</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损害变化、因果关系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2022年鉴定报告已记载电气线路拆除对墙体、抹灰等造成损伤，而科棚成立于2023年11月。现存痕迹可能来自既往拆除、加固、管线施工或其他主体。</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低至中。需要带时间戳的历史影像、2026年检测点位记录及施工前后对比。</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科棚成立晚于2022年报告所载既存损坏，不可能对该部分历史损害负责</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历史损害归责</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任何把报告所载电线拆除损伤、门窗拆除、历史失修归于科棚的论证均违反时间逻辑。</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极低。原告只能严格剥离2026年后新损坏，不能补救历史部分。</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2025年《专项授权委托书》仅证明交易谈判联系，不证明2026年管理、鉴定、入户或钻孔</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潘勇身份、权限链</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授权人为纽带公司，事项是“本次交易谈判”，且授权于2025年10月31日届满。该文件反而证明授权事项、期限有限。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低。须另有2026年科棚劳动关系、派工、项目委托或追认材料。</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潘勇2026年是否为科棚工作人员或代理人没有证据</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用人单位责任、行为归属</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历史上被称为“科棚潘勇团队”不等于其在2026年执行科棚工作任务。没有劳动合同、社保、名片、工作指令、报销、对外名义或事后追认。</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中低。须提交同期原始材料；单方称谓不足。</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所谓潘勇“将拆除铁门”的原始视频并未在项目中发现</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现实危险、停止侵害请求</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当前只有拟制文字稿或证据目录中的描述。没有原始视频、完整上下文、形成时间地点，不能证明威胁存在，更不能证明公司意思表示。</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中。原始视频确实存在并经真实性核验方可提高证明力。</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即使潘勇说过拟拆铁门，也不等于科棚已经实施或正在实施侵害</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现实妨害、未来禁令必要性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一句未实施的现场意见不等于公司决定；还须判断铁门权属、安全状态、消防要求及其是否属于共有部位。抽象未来风险不足以支持长期禁止性判项。</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低至中。须证明科棚决策、迫近实施行为及无合法依据。</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科棚并非2022年鉴定委托人，也无证据证明其为2026年鉴定委托人</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鉴定组织者身份</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已知2022年报告委托人为开福棚改投；2026年采购主体公开资料指向北城资产。原告尚未提交2026年合同、付款或成果接收资料将科棚连入委托链。</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中低。合同、付款、项目文件若明确科棚角色，评分才会下降。</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“有权进行危房鉴定”的说法目前只有当事人陈述</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权限链说明义务的事实前提</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报警回执没有该原话，原始录音录像缺失。法院不能先假定科棚作出该陈述，再要求科棚否定其未作出的陈述。</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中低。需公安记录、原始录音或科棚自认。</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即使有人自称有权鉴定，也只能证明其作过陈述，不能证明科棚拥有或主张该权限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91</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陈述主体与法人归属</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必须先证明说话人身份、职务、对外权限和语境。现场人员的个人说明不当然构成法人意思表示。</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中。需行为人身份及职务行为证据。</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V1将书面代理规则用于所有项目协作关系，法律适用过度</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84</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权限合法性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《民法典》第一百六十五条适用于书面授权形式，不能倒推出凡无书面授权均无权限；项目工作人员、承揽人、安全检查人员还可能基于合同履行、职务、业主共同决定或紧急避险进入。</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中。原告须证明具体关系依法必须书面并且没有其他权源。</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转委托规则并非当然适用于独立承揽、专业鉴定或现场协作</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“授权链断裂”论证</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鉴定机构可能以独立合同主体身份履约，并非科棚的代理人；现场人员也可能是鉴定机构人员。未提交合同前，不能预设为代理—转委托结构。</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低。合同性质一旦明确才可选择相应规范。</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原告对侵害行为和行为主体负初步举证责任，不能以被告掌握材料为由倒置</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举证责任</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在原告不能证明科棚人员到场、入户或实施钻孔之前，科棚没有先行证明“自己无责任”的义务。授权抗辩的证明责任只在行为归属已达到初步证明程度后发生。</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中。需要先完成行为归属证据链。</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法院调查取证和书证提出命令不能替代原告的基本举证</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程序取证</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V1所列项目合同、付款、工作群、城市更新清单范围宽泛，其中部分并非科棚控制。书证提出应特定到文件、证明事实和控制主体，不能进行探索式调查。</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中。把申请限定到具体文件并证明其确由持有人控制。</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即使科棚协助鉴定，也不等于其决定检测点位、深度或实施钻孔</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具体行为、共同侵权</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鉴定机构依法、专业独立决定检测方案的可能性更高；联络、带路、在场与组织、指示、实施是不同事实。</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低至中。需派工、现场指令、点位表、作业人员身份或共同意思联络证据。</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用人单位责任条款缺乏“工作人员”“执行工作任务”的事实前提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《民法典》第一千一百九十一条适用</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没有任何涉案施工人属于科棚工作人员的证据。若为独立鉴定机构或承揽人，应适用不同归责规则，不能自动由科棚承担。</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低至中。需劳动/派工/指令等强证据。</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V1未充分处理独立承揽或专业鉴定机构独立责任的可能</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86</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责任主体选择</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若损害源于鉴定机构承揽作业，委托人仅在定作、指示、选任上有过错时才可能承担相应责任；科棚即使联系项目，也不当然对专业操作负责。</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低。须证明科棚有定作、指示或选任过错。</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没有共同侵权的意思联络、分工或帮助证据</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连带责任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科棚、开福棚改投、北城资产、“城投”、鉴定机构是独立主体；一般合作、同场出现或股权联系均不足以成立共同侵权。</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低。需直接指令、共同方案、共同实施等证据。</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科棚工商经营范围不能证明对楠木厅12号的管理权或具体责任</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主体角色</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登记经营范围只是一般能力，不是特定项目授权或实际管理的证据。</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极低。只能另行取得特定合同或项目文件。</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开福棚改投与科棚之间的股权关系当前亦未由工商档案证明</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关联关系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现有科棚企业报告没有股东页。即使后续证明股权，也不产生授权或替代法人责任。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对“存在股权”可补，对“因此授权/负责”几乎不可补。</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生效行政判决指向开福棚改投，而非科棚</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整栋楼管理、改造责任主体</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判决记载2015年批复可作为开福棚改投管理、改造依据，并记载其组织加固。原告据此向科棚主张整栋排水、围挡、结构修缮，主体链条反而更加薄弱。</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低。除非证明开福棚改投将相应具体职责有效委托科棚且科棚实际履行。</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行政判决认定的管理、改造依据也不能直接确定本案民事责任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生效裁判事实效力</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行政案件的审查对象、当事人和责任性质不同。判决并未确定各主体对建筑垃圾、排水或墙洞的侵权事实，也未判令承担全部民事修复义务。</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极低。仍须本案逐项举证。</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诉后清运生活垃圾尚无任何原始证据</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科棚现实介入</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无工作群、通知、派工、费用、前后影像或实施单位说明；“科棚协调城投”目前只是原告陈述。</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中低。需多源原始证据，且须查明准确法人。</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即使清运事实成立，也可以解释为善意协调、临时协助或诉讼减损</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管理职责、责任自认</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在诉讼期间为减少矛盾协调第三方清理，不构成对管理权、垃圾来源或全部责任的承认；调解性处置亦不宜作为不利自认。</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极低。该行为性质不能仅靠结果改变，须另有长期管理或指令证据。</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“城投”主体不明，不能据模糊称谓建立科棚—城投—开福棚改投关系</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项目关系、履行能力</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“城投”可能指开福城投集团、其子公司、棚改投或外包队伍。主体不确定，所有关于接受协调、授权及费用的推论均无基础。</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中。准确法人、派工、费用资料可补事实，但不自动证明科棚责任。</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生活垃圾与建筑垃圾的来源、法律责任完全不同</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建筑垃圾清理请求</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生活垃圾可能由无主人员或长期闲置累积；建筑废料可能来自历史拆除、2023年加固或鉴定。清理前者不能证明产生、控制或放任后者。</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低。须对每批废料进行形成时间和行为人溯源。</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起诉后已清理部分垃圾的，相关请求可能因妨害消失而部分失去事实基础</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现实妨害持续性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排除妨害须针对现实存在或有明确继续危险的状态。已清区域不得重复判令清理。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高。原告可以缩小到仍存且可归责范围，但原请求不能整体维持。</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现有材料不能证明建筑垃圾由科棚堆放、控制或有义务清除</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请求4实体责任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原告甚至尚未完成位置、种类、数量、来源清单。科棚不是产权人、物业服务人或已证管理人。</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低。需完成具体来源及控制证据；仅证明科棚有协调能力不够。</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排水异常没有专业检测、管线图、堵点和形成时间</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请求5损害与因果关系</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“排水困难”不是可归责事实。管道可能自然老化、长期停用、他人拆除或房屋所有人缺乏维护所致。</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中低。专业检测只能证明原因，仍须把原因连到科棚。</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科棚与排水异常之间没有任何行为或管理义务证据</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请求5责任主体</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V1已经承认该证据链不存在。即使管道损坏，也应先查产权性质、维修义务人和实施人。</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极低至低。须出现明确施工或管理合同证据。</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围挡设置者、控制者和当前状态均未证明</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请求4、通行妨害</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一张照片不能说明谁设置、现在是否存在、是否锁闭、是否妨碍东301的唯一路径。</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中。可通过现状勘验补“存在和影响”，但设置/控制主体仍需另证。</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围挡可能是危险房屋所必需的临时安全措施</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违法性、排除妨害</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2022年曾评C/Csu，且房屋长期失修；安全责任人依法应采取警示、防护。法院不能在当前风险不明时直接拆除围挡，应在安全通行与风险控制之间平衡。</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低。原告须证明围挡已无必要或超比例，并提出安全替代方案。</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原告诉请要求不得控制、拆除一楼铁门，但没有证明铁门归原告所有或合法设置</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请求2权利基础</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一楼铁门处于共有部位的可能性大，原告无权把共有设施作为个人财产排他控制；若影响消防疏散或其他业主通行，其拆改可能具有正当性。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低至中。需权属、业主共同决定、消防及历史设置资料。</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原告不能以个人同意作为进入整栋共有部分的普遍前提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请求1、3范围</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共有部分的检查、维修和安全管理受业主共同决定及法定职责支配。请求禁止未经原告个人同意进入“该楼栋共有部位”，实质赋予其对共有部分的单方否决权，无法律依据。</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高。只能把请求限于专有部分或具体侵害，不宜维持原文。</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对专有部分的进入也并非任何情况下必须事先取得所有人同意</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请求1绝对性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为查明、修缮相邻或共有设施，权利人依法可能负有提供必要便利的义务；紧急危险处置亦可能存在无需事先同意的正当性。合法权限、必要性与损害最小化须个案审查。</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高。改为禁止无合法依据、无必要性或超范围行为，但会显著缩小诉请。</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请求禁止“鉴定、勘察、施工、维修等名义”下的任何钻孔，范围过宽</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97</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请求3可支持性</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房屋安全鉴定可能依法需要局部取样；原告不能预先否定一切专业必要操作，更无权对整栋共有部位作个人禁止。</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高。限于未经授权、非必要、超方案或拒不修复的特定行为。</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39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原诉请使用“设置、控制、组织形成或管理范围”等多重条件，执行标的不明确</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判项明确性、可执行性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执行程序无法以抽象“管理范围”判断何物、何处、何数量由科棚清理；请求4至6未给点位、尺寸、管段、期限、技术标准。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中。需在庭审前正式变更并附图表；代理意见中的建议不能自动改变诉讼请求。</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代理意见不能替代正式变更诉讼请求</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审判范围</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V1第十五节提出更具体结果，但现行起诉状仍是宽泛禁止和概括恢复。若原告未在法定程序内变更、明确，法院不得依据代理意见自行重塑为新的工程给付。</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高。可依法变更，但可能涉及重新举证和审期。</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请求恢复整栋“基本通行和排水功能”可能超出原告个别权利保护范围</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92</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原告权利范围、诉的利益</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原告可以保护其必要通行和排水权益，但不能在其他业主未参加时决定整套共有系统的设计、改造和处分。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中。限缩为直接服务东301的必要功能，或追加共有权人。</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其他共有权人未参加构成程序性障碍</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95</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必要共同诉讼</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如请求涉及共有排水系统整体改造、公共出入口重构、结构加固或铁门处分，其他共有权人为必要共同诉讼人；纽带等权利人登记状态尚未查明。</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中。追加或通知可以补，但将扩大争议与抗辩。</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原告对五楼纽带公司的权利状态及其与共有事项的利益冲突未交代</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共同诉讼、处分权限</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纽带既可能是其他专有权人，又曾授权交易谈判；铁门、通道和整体改造均可能影响其权利。未参加时，法院不宜作整体处分性判项。</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中。需登记资料和程序参加。</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房屋所有人本身是房屋安全第一责任主体，不能把整体治理义务转嫁给科棚</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安全治理义务来源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危险房屋制度首先要求产权人及时治理、采取防护；政府引导或项目主体介入不免除所有人义务。原告要求商业运营公司恢复整栋安全状态，缺乏法定或合同义务依据。</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低。除非证明科棚侵权导致危险或其承接了明确治理义务。</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原告若拒绝合理安全检查或必要进场，可能构成损害扩大或违反协助义务</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82</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违法性、过错相抵</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房屋存在历史安全风险时，产权人不能仅以未同意为由阻断必要鉴定；其拒绝配合造成无法治理或风险扩大，应自行承担相应后果。</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中。原告可证明无通知、权限不足或操作不必要，但不能维持绝对拒绝。</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2022年C/Csu不能证明2026年当前危险状态，2023年反而已有B级结论</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当前安全状态、治理必要性</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生效裁判记载加固后主体结构B级。没有新报告时，原告不能同时依靠旧C结论论证当前风险，又以房屋可安全使用主张全面开放。</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低。须提交完整2023报告及新的合法检测。</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2023年B级仅指“主体结构安全性”，不能转化为整栋或东301完整使用功能标准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恢复目标、验收标准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缺完整报告，评级体系、对象、围护及设备范围均不明。“不低于B/Bsu”无法作为判项或损害前状态。</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低。需完整报告和专业可比性意见。</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没有证据证明科棚行为导致安全等级下降或使用功能丧失</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修缮、加固、恢复安全使用的因果关系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即使新鉴定为C，也须证明下降源于科棚行为；老化、历史拆除、加固质量、产权人维护均是替代原因。</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极低。需专业因果鉴定及明确行为前后基准。</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49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“恢复正常、安全使用功能”仍可能超出民事责任的等价恢复范围</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94</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损害填补边界</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若涉案房屋在科棚被指行为前已长期空置、门窗拆除、排水异常或受历史风险限制，判令科棚使其达到完整使用状态会使原告获得优于行为前状态的利益。</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低至中。只能恢复经证明由科棚造成的功能减损。</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局部鉴定孔洞与整栋修缮加固之间不具有相当因果关系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责任范围</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即使科棚对个别孔洞负修补责任，也不能据此承担整栋结构、排水、消防、门窗和通行的全面治理成本。</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极低。除非专业证明孔洞造成结构性后果。</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2026年城市更新行动方案在被诉4月行为发生时尚未施行</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行为违法性、时际效力</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长政办发〔2026〕6号自2026年5月1日起施行；所谓4月19日或4月27日事件在此之前。该政策不能溯及评价当时行为是否合法。</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无。只能作为后续治理或调解背景。</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城市更新政策不是科棚民事义务来源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请求权基础</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行动方案规范行政统筹、项目策划和治理路径，未指名科棚对楠木厅12号负有修缮、原拆原建、收购或制定方案义务。</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无。只能另找侵权、合同或特定管理义务。</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“问题闭环”“一屋一策”不能用于倒推科棚是责任主体</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责任主体</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即使行政机关或实施主体应形成闭环，责任人仍须由权属、项目批准、委托或法定职责确定。政策口号不能填补主体证据空白。</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无。须取得特定项目文件。</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2023年“一房一策”与2026年历史街区“一屋一策”不可混同</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政策适用对象</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前者来自特定危房整治材料，后者服务历史文化保护；术语、程序、责任主体和法律效果并不相同。V1虽有区分提示，但其调查叙事容易制造“必有一份科棚负责方案”的印象。</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中。需取得具体交办文件和适用对象清单。</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尚未证明楠木厅12号属于需适用历史建筑单体规则的历史建筑</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历史保护规则适用</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位于潮宗街片区、纳入旧棚改项目，不等于该建筑本体是文物、历史建筑或传统风貌建筑。“一屋一策”适用层级需以保护名录和范围图为准。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中。官方名录、保护规划可明确。</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尚未证明楠木厅12号纳入2026城市更新项目库或鉴定采购范围</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项目角色、实施义务</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公开采购无门牌清单；无项目实施方案、资金安排或实施主体文件。原告有关“长期未治理”的质疑不能转化为本案对科棚的给付请求。</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低。须取得明确项目清单，但即使入库也不当然归责科棚。</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57</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“国企投资、民企运营、街道管理”只是官方案例或模式介绍</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科棚—开福棚改投角色推定</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模式性新闻不能证明每座房屋均按同一架构运行，更不能证明科棚承接结构安全、排水或垃圾责任。</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极低。必须有楠木厅12号的具体合同和实施文件。</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尚未生效的《长沙市历史文化街区保护管理办法》与本案当前责任无关</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现行法适用</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该办法2026年9月10日施行；在开庭或行为时未生效的，不得作为确定科棚责任的规范依据。</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无。只能作未来方案背景。</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59</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直接请求“有机更新”缺乏明确法律概念和执行标准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可判性</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“有机更新”属于规划、政策和项目管理概念，涉及多部门审批及多个权利人。法院不能以民事判决替代。</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无法改造成直接判项，只能协商。</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直接请求“原拆原建”涉及业主决策、规划、保护、建设审批和资金，不能针对科棚直接判令</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可判性、义务来源</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科棚既非已证产权人、也非已证实施主体；历史街区还有严格保护限制。政策“支持”并不授予原告对科棚的请求权。</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无法通过文字补救；只能具备条件后自愿调解。</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61</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收购、置换完全以当事人自愿和价格合意为前提</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调解边界</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“鼓励成片收购”不是征收，也不产生强制缔约义务。法院不得以政策迫使科棚或关联企业收购。</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无。仅可自愿调解。</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62</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一屋一策或整体更新调解若无实际实施主体参加，也不具履行可能</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调解有效性</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科棚未被证明具有项目申报、资金、规划审批或施工组织权；由其单独承诺会成为无法履行的空头条款。</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中。须由开福棚改投、产权人、实施主体和必要行政协同主体参加，但这不证明科棚责任。</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63</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调解意愿不得作为责任自认</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100</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心证、证据使用</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科棚愿调解可能出于成本、邻里或项目推进考量，依法不能据此推定侵权、管理身份或义务。</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无。V1对此已有克制，应继续排除。</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64</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开福棚改投参加诉讼不等于科棚应承担责任</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99</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主体混同</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原告若追加实际管理改造主体，只能进一步说明应分别认定。不能通过追加把开福棚改投职责“传导”给科棚。</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无。各主体责任必须独立证明。</w:t>
            </w:r>
          </w:p>
        </w:tc>
      </w:tr>
      <w:tr>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65</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原告的“鉴定—围挡—不治理”叙事没有证明科棚负责鉴定后治理</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98</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核心诉讼主线</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该叙事可用于行政调查或调解发问，但在民事责任上缺少“谁应治理”的法源和项目文件。对科棚而言，它只是修辞性关联。</w:t>
            </w:r>
          </w:p>
        </w:tc>
        <w:tc>
          <w:tcPr>
            <w:tcW w:type="dxa" w:w="1493"/>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低。须证明科棚承接治理职责或自身造成妨害。</w:t>
            </w:r>
          </w:p>
        </w:tc>
      </w:tr>
      <w:tr>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66</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V1事实表达过于条件化，反向确认原告未达到证明标准</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95</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整体证明力</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“据原告陈述”“若经核实”“有必要查明”“尚需补强”反复出现。审慎表达虽避免失实，却也等于承认诉前事实调查尚未完成，不足以支持立即作出给付判决。</w:t>
            </w:r>
          </w:p>
        </w:tc>
        <w:tc>
          <w:tcPr>
            <w:tcW w:type="dxa" w:w="1493"/>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19"/>
              </w:rPr>
              <w:t>中。只有实质补证，不能靠改写解决。</w:t>
            </w:r>
          </w:p>
        </w:tc>
      </w:tr>
    </w:tbl>
    <w:p>
      <w:pPr>
        <w:spacing w:after="20"/>
      </w:pPr>
    </w:p>
    <w:p>
      <w:pPr>
        <w:pStyle w:val="Heading1"/>
      </w:pPr>
      <w:r>
        <w:t>二、围绕原告现有七项诉讼请求的集中抗辩</w:t>
      </w:r>
    </w:p>
    <w:p>
      <w:pPr>
        <w:pStyle w:val="Heading2"/>
      </w:pPr>
      <w:r>
        <w:t>（一）请求一：停止进入东301及楼栋共有部位</w:t>
      </w:r>
    </w:p>
    <w:p>
      <w:pPr>
        <w:spacing w:line="360" w:lineRule="auto" w:after="100"/>
        <w:ind w:firstLine="420"/>
      </w:pPr>
      <w:r>
        <w:rPr>
          <w:rFonts w:ascii="宋体" w:hAnsi="宋体" w:eastAsia="宋体"/>
          <w:sz w:val="24"/>
        </w:rPr>
        <w:t>对东301部分，原告必须先证明地址同一性、科棚曾进入或者有迫近再次进入危险，并区分合法安全检查、紧急处置与无权进入。现有证据均未完成。对共有部位部分，原告个人无权把其同意设置为所有检查、维修、鉴定、运营活动的前提。该请求范围过宽，建议法院不予支持。</w:t>
      </w:r>
    </w:p>
    <w:p>
      <w:pPr>
        <w:pStyle w:val="Heading2"/>
      </w:pPr>
      <w:r>
        <w:t>（二）请求二：禁止处理铁门、出入口等设施</w:t>
      </w:r>
    </w:p>
    <w:p>
      <w:pPr>
        <w:spacing w:line="360" w:lineRule="auto" w:after="100"/>
        <w:ind w:firstLine="420"/>
      </w:pPr>
      <w:r>
        <w:rPr>
          <w:rFonts w:ascii="宋体" w:hAnsi="宋体" w:eastAsia="宋体"/>
          <w:sz w:val="24"/>
        </w:rPr>
        <w:t>铁门权属、安装依据、消防影响、共有权人意见均未证明。潘勇的原始视频亦缺失。抽象禁止“组织、指使、委托、协助”任何未来行为，缺乏特定行为和执行边界，应予驳回。</w:t>
      </w:r>
    </w:p>
    <w:p>
      <w:pPr>
        <w:pStyle w:val="Heading2"/>
      </w:pPr>
      <w:r>
        <w:t>（三）请求三：禁止鉴定、施工中的钻孔等行为</w:t>
      </w:r>
    </w:p>
    <w:p>
      <w:pPr>
        <w:spacing w:line="360" w:lineRule="auto" w:after="100"/>
      </w:pPr>
      <w:r>
        <w:rPr>
          <w:rFonts w:ascii="宋体" w:hAnsi="宋体" w:eastAsia="宋体"/>
          <w:sz w:val="24"/>
        </w:rPr>
        <w:t>原告不能取得对整栋共有部位的个人否决权；对专有部分，也只能禁止无合法依据、不必要、超范围或不予修复的侵入性行为。完全禁止未来合理鉴定和施工会妨碍危险房屋治理，诉请不具适法性与可执行性。</w:t>
      </w:r>
    </w:p>
    <w:p>
      <w:pPr>
        <w:pStyle w:val="Heading2"/>
      </w:pPr>
      <w:r>
        <w:t>（四）请求四：围挡、垃圾和杂物</w:t>
      </w:r>
    </w:p>
    <w:p>
      <w:pPr>
        <w:spacing w:line="360" w:lineRule="auto" w:after="100"/>
        <w:ind w:firstLine="420"/>
      </w:pPr>
      <w:r>
        <w:rPr>
          <w:rFonts w:ascii="宋体" w:hAnsi="宋体" w:eastAsia="宋体"/>
          <w:sz w:val="24"/>
        </w:rPr>
        <w:t>围挡的设置、控制、现实必要性没有证明；已清理的生活垃圾请求部分失去对象；现存建筑垃圾没有位置、数量、来源和科棚控制证据。本项把不同性质、不同主体、不同时间的事项合并，不能形成明确判项。</w:t>
      </w:r>
    </w:p>
    <w:p>
      <w:pPr>
        <w:pStyle w:val="Heading2"/>
      </w:pPr>
      <w:r>
        <w:t>（五）请求五：排水和通行</w:t>
      </w:r>
    </w:p>
    <w:p>
      <w:pPr>
        <w:spacing w:line="360" w:lineRule="auto" w:after="100"/>
        <w:ind w:firstLine="420"/>
      </w:pPr>
      <w:r>
        <w:rPr>
          <w:rFonts w:ascii="宋体" w:hAnsi="宋体" w:eastAsia="宋体"/>
          <w:sz w:val="24"/>
        </w:rPr>
        <w:t>没有专业检测和科棚归责证据。整栋共有排水系统还涉及必要共同诉讼、业主共同决定及房屋所有人维护义务。即使功能异常，也不能判由科棚承担。</w:t>
      </w:r>
    </w:p>
    <w:p>
      <w:pPr>
        <w:pStyle w:val="Heading2"/>
      </w:pPr>
      <w:r>
        <w:t>（六）请求六：孔洞、墙体、门窗及通行设施恢复</w:t>
      </w:r>
    </w:p>
    <w:p>
      <w:pPr>
        <w:spacing w:line="360" w:lineRule="auto" w:after="100"/>
        <w:ind w:firstLine="420"/>
      </w:pPr>
      <w:r>
        <w:rPr>
          <w:rFonts w:ascii="宋体" w:hAnsi="宋体" w:eastAsia="宋体"/>
          <w:sz w:val="24"/>
        </w:rPr>
        <w:t>最多只能在原告证明具体点位系科棚人员造成后讨论等价修补。现有照片不具主体、时间、地点证明力；门窗等在2022年已大部分拆除，不能归责于2023年后成立的科棚。整体“恢复原状”应驳回。</w:t>
      </w:r>
    </w:p>
    <w:p>
      <w:pPr>
        <w:pStyle w:val="Heading2"/>
      </w:pPr>
      <w:r>
        <w:t>（七）请求七：诉讼费用</w:t>
      </w:r>
    </w:p>
    <w:p>
      <w:pPr>
        <w:spacing w:line="360" w:lineRule="auto" w:after="100"/>
        <w:ind w:firstLine="420"/>
      </w:pPr>
      <w:r>
        <w:rPr>
          <w:rFonts w:ascii="宋体" w:hAnsi="宋体" w:eastAsia="宋体"/>
          <w:sz w:val="24"/>
        </w:rPr>
        <w:t>如主要实体请求被驳回或原告大幅变更、缩减请求，诉讼费应按胜负比例负担；诉后善意协调不构成由科棚承担全部费用的理由。</w:t>
      </w:r>
    </w:p>
    <w:p>
      <w:pPr>
        <w:pStyle w:val="Heading1"/>
      </w:pPr>
      <w:r>
        <w:t>三、被告应坚持的权限链答辩框架</w:t>
      </w:r>
    </w:p>
    <w:p>
      <w:pPr>
        <w:pStyle w:val="ListNumber"/>
        <w:spacing w:line="360" w:lineRule="auto" w:after="100"/>
      </w:pPr>
      <w:r>
        <w:rPr>
          <w:rFonts w:ascii="宋体" w:hAnsi="宋体" w:eastAsia="宋体"/>
          <w:sz w:val="24"/>
        </w:rPr>
        <w:t>不在证据出现前承认科棚是2026年鉴定委托人、组织人、施工人或现场控制人。</w:t>
      </w:r>
    </w:p>
    <w:p>
      <w:pPr>
        <w:pStyle w:val="ListNumber"/>
        <w:spacing w:line="360" w:lineRule="auto" w:after="100"/>
      </w:pPr>
      <w:r>
        <w:rPr>
          <w:rFonts w:ascii="宋体" w:hAnsi="宋体" w:eastAsia="宋体"/>
          <w:sz w:val="24"/>
        </w:rPr>
        <w:t>对具体人员逐一核实身份，不接受“潘某”“科棚方面人员”“城投人员”等集合称谓。</w:t>
      </w:r>
    </w:p>
    <w:p>
      <w:pPr>
        <w:pStyle w:val="ListNumber"/>
        <w:spacing w:line="360" w:lineRule="auto" w:after="100"/>
      </w:pPr>
      <w:r>
        <w:rPr>
          <w:rFonts w:ascii="宋体" w:hAnsi="宋体" w:eastAsia="宋体"/>
          <w:sz w:val="24"/>
        </w:rPr>
        <w:t>如确有科棚人员参与，仅承认经证据证明的联络、陪同或协调事实，不承认其决定专业点位或实施钻孔。</w:t>
      </w:r>
    </w:p>
    <w:p>
      <w:pPr>
        <w:pStyle w:val="ListNumber"/>
        <w:spacing w:line="360" w:lineRule="auto" w:after="100"/>
      </w:pPr>
      <w:r>
        <w:rPr>
          <w:rFonts w:ascii="宋体" w:hAnsi="宋体" w:eastAsia="宋体"/>
          <w:sz w:val="24"/>
        </w:rPr>
        <w:t>对合同、授权、付款及工作群等材料，先审查是否由科棚实际控制、是否涉及商业秘密、是否与特定争点有关，再依法提交；反对无范围的探索式调查。</w:t>
      </w:r>
    </w:p>
    <w:p>
      <w:pPr>
        <w:pStyle w:val="ListNumber"/>
        <w:spacing w:line="360" w:lineRule="auto" w:after="100"/>
      </w:pPr>
      <w:r>
        <w:rPr>
          <w:rFonts w:ascii="宋体" w:hAnsi="宋体" w:eastAsia="宋体"/>
          <w:sz w:val="24"/>
        </w:rPr>
        <w:t>以2022年开福棚改投委托、2023年开福棚改投组织加固及2026年公开采购主体资料，主张项目层级存在多个独立主体，责任必须分别认定。</w:t>
      </w:r>
    </w:p>
    <w:p>
      <w:pPr>
        <w:pStyle w:val="ListNumber"/>
        <w:spacing w:line="360" w:lineRule="auto" w:after="100"/>
      </w:pPr>
      <w:r>
        <w:rPr>
          <w:rFonts w:ascii="宋体" w:hAnsi="宋体" w:eastAsia="宋体"/>
          <w:sz w:val="24"/>
        </w:rPr>
        <w:t>如鉴定机构实施必要检测，主张其专业独立性、检测必要性以及原告提供合理便利的义务；如有局部未修补，可在不承认整体责任的前提下评估等价修补方案。</w:t>
      </w:r>
    </w:p>
    <w:p>
      <w:pPr>
        <w:pStyle w:val="Heading1"/>
      </w:pPr>
      <w:r>
        <w:t>四、最致命的证据缺口</w:t>
      </w:r>
    </w:p>
    <w:p>
      <w:pPr>
        <w:spacing w:line="360" w:lineRule="auto" w:after="100"/>
        <w:ind w:firstLine="420"/>
      </w:pPr>
      <w:r>
        <w:rPr>
          <w:rFonts w:ascii="宋体" w:hAnsi="宋体" w:eastAsia="宋体"/>
          <w:sz w:val="24"/>
        </w:rPr>
        <w:t>按对原告实体请求的破坏程度排序：</w:t>
      </w:r>
    </w:p>
    <w:p>
      <w:pPr>
        <w:pStyle w:val="ListNumber"/>
        <w:spacing w:line="360" w:lineRule="auto" w:after="100"/>
      </w:pPr>
      <w:r>
        <w:rPr>
          <w:rFonts w:ascii="宋体" w:hAnsi="宋体" w:eastAsia="宋体"/>
          <w:b/>
          <w:sz w:val="24"/>
        </w:rPr>
        <w:t>没有任何现存原始证据证明科棚人员实施、组织、指示或授权进入东301并钻孔。</w:t>
      </w:r>
      <w:r>
        <w:rPr>
          <w:rFonts w:ascii="宋体" w:hAnsi="宋体" w:eastAsia="宋体"/>
          <w:sz w:val="24"/>
        </w:rPr>
        <w:t>这是全部直接侵权请求的第一致命缺口。</w:t>
      </w:r>
    </w:p>
    <w:p>
      <w:pPr>
        <w:pStyle w:val="ListNumber"/>
        <w:spacing w:line="360" w:lineRule="auto" w:after="100"/>
      </w:pPr>
      <w:r>
        <w:rPr>
          <w:rFonts w:ascii="宋体" w:hAnsi="宋体" w:eastAsia="宋体"/>
          <w:b/>
          <w:sz w:val="24"/>
        </w:rPr>
        <w:t>报警回执无案件事实，原始110材料、现场执法记录、询问笔录、原始录音录像均缺失。</w:t>
      </w:r>
      <w:r>
        <w:rPr>
          <w:rFonts w:ascii="宋体" w:hAnsi="宋体" w:eastAsia="宋体"/>
          <w:sz w:val="24"/>
        </w:rPr>
        <w:t>原告对核心现场经过只有单方叙述。</w:t>
      </w:r>
    </w:p>
    <w:p>
      <w:pPr>
        <w:pStyle w:val="ListNumber"/>
        <w:spacing w:line="360" w:lineRule="auto" w:after="100"/>
      </w:pPr>
      <w:r>
        <w:rPr>
          <w:rFonts w:ascii="宋体" w:hAnsi="宋体" w:eastAsia="宋体"/>
          <w:b/>
          <w:sz w:val="24"/>
        </w:rPr>
        <w:t>墙洞照片缺乏地点、时间、前状态、行为人和原始载体；2022年报告又证明既有施工损伤。</w:t>
      </w:r>
      <w:r>
        <w:rPr>
          <w:rFonts w:ascii="宋体" w:hAnsi="宋体" w:eastAsia="宋体"/>
          <w:sz w:val="24"/>
        </w:rPr>
        <w:t>因果关系无法排除历史施工及第三人行为。</w:t>
      </w:r>
    </w:p>
    <w:p>
      <w:pPr>
        <w:pStyle w:val="ListNumber"/>
        <w:spacing w:line="360" w:lineRule="auto" w:after="100"/>
      </w:pPr>
      <w:r>
        <w:rPr>
          <w:rFonts w:ascii="宋体" w:hAnsi="宋体" w:eastAsia="宋体"/>
          <w:b/>
          <w:sz w:val="24"/>
        </w:rPr>
        <w:t>科棚诉后协调“城投”清理生活垃圾没有原始证据，且“城投”法人不明。</w:t>
      </w:r>
      <w:r>
        <w:rPr>
          <w:rFonts w:ascii="宋体" w:hAnsi="宋体" w:eastAsia="宋体"/>
          <w:sz w:val="24"/>
        </w:rPr>
        <w:t>该事实当前没有可评价的证明力。</w:t>
      </w:r>
    </w:p>
    <w:p>
      <w:pPr>
        <w:pStyle w:val="ListNumber"/>
        <w:spacing w:line="360" w:lineRule="auto" w:after="100"/>
      </w:pPr>
      <w:r>
        <w:rPr>
          <w:rFonts w:ascii="宋体" w:hAnsi="宋体" w:eastAsia="宋体"/>
          <w:b/>
          <w:sz w:val="24"/>
        </w:rPr>
        <w:t>建筑垃圾、排水、围挡均未完成“现状—控制主体—形成原因—具体修复方式”闭环。</w:t>
      </w:r>
      <w:r>
        <w:rPr>
          <w:rFonts w:ascii="宋体" w:hAnsi="宋体" w:eastAsia="宋体"/>
          <w:sz w:val="24"/>
        </w:rPr>
        <w:t>针对科棚的楼栋级给付请求无法成立。</w:t>
      </w:r>
    </w:p>
    <w:p>
      <w:pPr>
        <w:pStyle w:val="ListNumber"/>
        <w:spacing w:line="360" w:lineRule="auto" w:after="100"/>
      </w:pPr>
      <w:r>
        <w:rPr>
          <w:rFonts w:ascii="宋体" w:hAnsi="宋体" w:eastAsia="宋体"/>
          <w:b/>
          <w:sz w:val="24"/>
        </w:rPr>
        <w:t>东301与登记“303房”等地址同一性尚未由登记机关证明。</w:t>
      </w:r>
      <w:r>
        <w:rPr>
          <w:rFonts w:ascii="宋体" w:hAnsi="宋体" w:eastAsia="宋体"/>
          <w:sz w:val="24"/>
        </w:rPr>
        <w:t>权利客体仍可能发生争议。</w:t>
      </w:r>
    </w:p>
    <w:p>
      <w:pPr>
        <w:pStyle w:val="ListNumber"/>
        <w:spacing w:line="360" w:lineRule="auto" w:after="100"/>
      </w:pPr>
      <w:r>
        <w:rPr>
          <w:rFonts w:ascii="宋体" w:hAnsi="宋体" w:eastAsia="宋体"/>
          <w:b/>
          <w:sz w:val="24"/>
        </w:rPr>
        <w:t>2023年B级完整报告、2026年新报告均缺失。</w:t>
      </w:r>
      <w:r>
        <w:rPr>
          <w:rFonts w:ascii="宋体" w:hAnsi="宋体" w:eastAsia="宋体"/>
          <w:sz w:val="24"/>
        </w:rPr>
        <w:t>当前安全等级、报告范围、恢复标准和新旧变化无法判断。</w:t>
      </w:r>
    </w:p>
    <w:p>
      <w:pPr>
        <w:pStyle w:val="ListNumber"/>
        <w:spacing w:line="360" w:lineRule="auto" w:after="100"/>
      </w:pPr>
      <w:r>
        <w:rPr>
          <w:rFonts w:ascii="宋体" w:hAnsi="宋体" w:eastAsia="宋体"/>
          <w:b/>
          <w:sz w:val="24"/>
        </w:rPr>
        <w:t>整栋楼最新登记和其他共有权人材料缺失。</w:t>
      </w:r>
      <w:r>
        <w:rPr>
          <w:rFonts w:ascii="宋体" w:hAnsi="宋体" w:eastAsia="宋体"/>
          <w:sz w:val="24"/>
        </w:rPr>
        <w:t>涉及共有系统的请求面临必要共同诉讼障碍。</w:t>
      </w:r>
    </w:p>
    <w:p>
      <w:pPr>
        <w:spacing w:line="360" w:lineRule="auto" w:after="100"/>
        <w:ind w:firstLine="420"/>
      </w:pPr>
      <w:r>
        <w:rPr>
          <w:rFonts w:ascii="宋体" w:hAnsi="宋体" w:eastAsia="宋体"/>
          <w:sz w:val="24"/>
        </w:rPr>
        <w:t>以上缺口多数不是法言法语或者诉请措辞能够修复，而是原始证据缺失。若开庭前仍维持现状，原告即使在政策和法律抽象层面论证充分，也难以达到针对科棚作出具体给付判决所需的证明标准。</w:t>
      </w:r>
    </w:p>
    <w:p>
      <w:pPr>
        <w:pStyle w:val="Heading1"/>
      </w:pPr>
      <w:r>
        <w:t>五、总体风险评分</w:t>
      </w:r>
    </w:p>
    <w:p>
      <w:pPr>
        <w:pStyle w:val="Heading2"/>
      </w:pPr>
      <w:r>
        <w:t>1. 原告请求获得支持的概率（以当前证据为准）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请求类型</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原告获支持概率</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被告风险判断</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确认科棚可以作为被诉主体进入实体审理</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法院通常依原告诉称确定是否存在直接争议，不宜把“主体适格”与实体责任完全等同；但这不预示原告诉请成立。</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禁止科棚未经合法依据进入东301</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25%</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缺既往行为归属和再次侵害危险证据；若公安资料出现明确公司人员、陈述及指令，风险将上升。</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修复科棚造成的特定钻孔、剔凿</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当前没有行为人和因果链。若检测点位、人员、原始视频形成闭环，可能上升至55%左右。</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清除特定建筑垃圾</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来源、点位、科棚控制或义务均未证明。</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恢复特定排水功能</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无检测、无行为、无管理义务证据。</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拆移围挡或恢复通行</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当前设置/控制人不明，且安全防护具有正当性可能。</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由科棚恢复整栋安全使用功能或组织加固</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3%</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缺义务来源和因果关系，且涉及开福棚改投、业主共同决定、审批及专业工程。</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直接有机更新、原拆原建或收购置换</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0—2%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不属于针对科棚可直接判令的民事给付。</w:t>
            </w:r>
          </w:p>
        </w:tc>
      </w:tr>
    </w:tbl>
    <w:p>
      <w:pPr>
        <w:spacing w:after="20"/>
      </w:pPr>
    </w:p>
    <w:p>
      <w:pPr>
        <w:pStyle w:val="Heading2"/>
      </w:pPr>
      <w:r>
        <w:t>2. 被告总体诉讼风险</w:t>
      </w:r>
    </w:p>
    <w:p>
      <w:pPr>
        <w:spacing w:line="360" w:lineRule="auto" w:after="100"/>
        <w:ind w:firstLine="420"/>
      </w:pPr>
      <w:r>
        <w:rPr>
          <w:rFonts w:ascii="宋体" w:hAnsi="宋体" w:eastAsia="宋体"/>
          <w:b/>
          <w:sz w:val="24"/>
        </w:rPr>
        <w:t>以现有证据计算，科棚在本案主要实体诉请上取得全部或绝大部分胜诉的概率约为78%。</w:t>
      </w:r>
      <w:r>
        <w:rPr>
          <w:rFonts w:ascii="宋体" w:hAnsi="宋体" w:eastAsia="宋体"/>
          <w:sz w:val="24"/>
        </w:rPr>
        <w:t>风险集中在两个变量：其一，公安完整材料或原始视频是否明确固定科棚人员、公司身份、进入东301及“有权鉴定”的陈述；其二，2026年鉴定合同、派工、现场点位和施工记录是否证明科棚实际组织、指示或实施侵入性操作。若两类证据同时对科棚不利，特定孔洞修补及停止超范围进入请求的原告胜诉概率可能显著上升，但仍不会自然扩张到建筑垃圾、排水、围挡、整栋加固或城市更新责任。</w:t>
      </w:r>
    </w:p>
    <w:p>
      <w:pPr>
        <w:pStyle w:val="Heading2"/>
      </w:pPr>
      <w:r>
        <w:t>3. V1的防御评价</w:t>
      </w:r>
    </w:p>
    <w:p>
      <w:pPr>
        <w:spacing w:line="360" w:lineRule="auto" w:after="100"/>
        <w:ind w:firstLine="420"/>
      </w:pPr>
      <w:r>
        <w:rPr>
          <w:rFonts w:ascii="宋体" w:hAnsi="宋体" w:eastAsia="宋体"/>
          <w:sz w:val="24"/>
        </w:rPr>
        <w:t>V1的优势在于主动切断了政策与直接请求权、垃圾协调与责任自认、股权与授权、专项鉴定权限与长期管理职责之间的错误等式。该克制会提高法院对文书诚信度的评价。但从对抗角度，其弱点同样明显：它用大量“有必要查明”的问题代替已经完成的证明，把诉讼准备阶段的调查目录写进实体代理意见；在主要原始证据缺失的情况下，无法回答为何应当针对科棚立即作出某一项明确给付判决。</w:t>
      </w:r>
    </w:p>
    <w:p>
      <w:pPr>
        <w:pStyle w:val="Heading1"/>
      </w:pPr>
      <w:r>
        <w:t>六、Defense Reviewer评分</w:t>
      </w:r>
    </w:p>
    <w:p>
      <w:pPr>
        <w:spacing w:line="360" w:lineRule="auto" w:after="100"/>
        <w:ind w:firstLine="420"/>
      </w:pPr>
      <w:r>
        <w:rPr>
          <w:rFonts w:ascii="宋体" w:hAnsi="宋体" w:eastAsia="宋体"/>
          <w:sz w:val="24"/>
        </w:rPr>
        <w:t>以下评分系从“被告可攻击程度”评估V1：分数越高，表示该部分越能抵御被告攻击。</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V1抗攻击评分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被告评语</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请求权基础</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民法规范选择基本正确，但抽象请求权不能填补行为与因果。</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科棚主体适格论证</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从诉称关联层面可以进入实体审理；从已证事实层面仍主要依赖待核线索。</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开福棚改投处理</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区分较清楚，但行政裁判实际更有利于科棚主张楼栋级责任主体另有其人。</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鉴定权限分析</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67</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问题清单完整，事实前提缺失；代理与独立承揽关系仍需区分。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科棚—城投垃圾证据运用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语言克制，但当前无原始证据，仍不宜在正式代理意见中作为实体论证支点。</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因果关系</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42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V1承认证据链未完成；这是实体败诉的核心。</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恢复诉请可执行性</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提出明确化方向，但未替代现有起诉状，也缺点位、标准和履行主体。</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B/Bsu—C/Csu论证</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86</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正确纠正时序，但完整报告与现状缺失使其不能提供恢复基准。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城市更新政策使用准确度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基本谨慎；仍存在时际适用和“一房/一屋一策”混用风险。</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政策与直接请求权边界</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红线把握较好。</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共有部分程序问题</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已识别风险，但未实际解决必要共同诉讼和共同决策问题。</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证据完整度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38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核心原始证据、地址对应、共有权人、现场归责和安全报告均缺。</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法官可接受程度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诚实、克制，但更像调查提纲，直接支持判决的事实密度不足。</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调解方案成熟度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分层合理；无实际实施主体和审批承诺时仍可能不可执行。</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整体法律严谨度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法律边界强于事实证明，未能克服当前证据缺口。</w:t>
            </w:r>
          </w:p>
        </w:tc>
      </w:tr>
    </w:tbl>
    <w:p>
      <w:pPr>
        <w:spacing w:after="20"/>
      </w:pPr>
    </w:p>
    <w:p>
      <w:pPr>
        <w:pStyle w:val="Heading1"/>
      </w:pPr>
      <w:r>
        <w:t>七、被告方最终意见</w:t>
      </w:r>
    </w:p>
    <w:p>
      <w:pPr>
        <w:spacing w:line="360" w:lineRule="auto" w:after="100"/>
        <w:ind w:firstLine="420"/>
      </w:pPr>
      <w:r>
        <w:rPr>
          <w:rFonts w:ascii="宋体" w:hAnsi="宋体" w:eastAsia="宋体"/>
          <w:sz w:val="24"/>
        </w:rPr>
        <w:t>科棚应当请求法院：</w:t>
      </w:r>
    </w:p>
    <w:p>
      <w:pPr>
        <w:pStyle w:val="ListNumber"/>
        <w:spacing w:line="360" w:lineRule="auto" w:after="100"/>
      </w:pPr>
      <w:r>
        <w:rPr>
          <w:rFonts w:ascii="宋体" w:hAnsi="宋体" w:eastAsia="宋体"/>
          <w:sz w:val="24"/>
        </w:rPr>
        <w:t>对原告现有诉讼请求逐项进行事实、主体、因果和可执行性审查，不以城市更新政策或楼栋一般历史背景替代民事责任要件；</w:t>
      </w:r>
    </w:p>
    <w:p>
      <w:pPr>
        <w:pStyle w:val="ListNumber"/>
        <w:spacing w:line="360" w:lineRule="auto" w:after="100"/>
      </w:pPr>
      <w:r>
        <w:rPr>
          <w:rFonts w:ascii="宋体" w:hAnsi="宋体" w:eastAsia="宋体"/>
          <w:sz w:val="24"/>
        </w:rPr>
        <w:t>对涉及共有部分整体改造的请求，先行审查其他共有权人是否必须参加诉讼；</w:t>
      </w:r>
    </w:p>
    <w:p>
      <w:pPr>
        <w:pStyle w:val="ListNumber"/>
        <w:spacing w:line="360" w:lineRule="auto" w:after="100"/>
      </w:pPr>
      <w:r>
        <w:rPr>
          <w:rFonts w:ascii="宋体" w:hAnsi="宋体" w:eastAsia="宋体"/>
          <w:sz w:val="24"/>
        </w:rPr>
        <w:t>对报警回执、照片、文字整理稿、诉后垃圾清运陈述，严格按其原始内容认定证明范围；</w:t>
      </w:r>
    </w:p>
    <w:p>
      <w:pPr>
        <w:pStyle w:val="ListNumber"/>
        <w:spacing w:line="360" w:lineRule="auto" w:after="100"/>
      </w:pPr>
      <w:r>
        <w:rPr>
          <w:rFonts w:ascii="宋体" w:hAnsi="宋体" w:eastAsia="宋体"/>
          <w:sz w:val="24"/>
        </w:rPr>
        <w:t>在原告不能证明科棚实施、组织、指示或授权具体行为，且不能证明科棚对具体区域负有管理、排除义务时，驳回对应诉讼请求；</w:t>
      </w:r>
    </w:p>
    <w:p>
      <w:pPr>
        <w:pStyle w:val="ListNumber"/>
        <w:spacing w:line="360" w:lineRule="auto" w:after="100"/>
      </w:pPr>
      <w:r>
        <w:rPr>
          <w:rFonts w:ascii="宋体" w:hAnsi="宋体" w:eastAsia="宋体"/>
          <w:sz w:val="24"/>
        </w:rPr>
        <w:t>将“一屋一策”、城市更新、原拆原建、收购置换等事项排除在对科棚的直接判项之外。各方若自愿调解，科棚的参与不构成责任自认，并应以实际实施主体、审批条件和各方共同履行为前提。</w:t>
      </w:r>
    </w:p>
    <w:p>
      <w:pPr>
        <w:spacing w:line="360" w:lineRule="auto" w:after="100"/>
        <w:ind w:firstLine="420"/>
      </w:pPr>
      <w:r>
        <w:rPr>
          <w:rFonts w:ascii="宋体" w:hAnsi="宋体" w:eastAsia="宋体"/>
          <w:b/>
          <w:sz w:val="24"/>
        </w:rPr>
        <w:t>最强抗辩主轴只有一个：原告可以提出许多值得调查的问题，但其必须证明的是科棚对每一个具体妨害“做了什么、凭什么负责、造成了什么结果、法院能够命令其做什么”；截至V1形成时，这四个问题均未由现存原始证据闭合。</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Defense_Reviewer_V1</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