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240"/>
        <w:jc w:val="center"/>
      </w:pPr>
      <w:r>
        <w:rPr>
          <w:rFonts w:ascii="宋体" w:hAnsi="宋体" w:eastAsia="宋体"/>
          <w:b/>
          <w:sz w:val="44"/>
        </w:rPr>
        <w:t>原告证据质证意见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案号：【本诉案号待补】</w:t>
      </w:r>
    </w:p>
    <w:p>
      <w:pPr>
        <w:spacing w:line="360" w:lineRule="auto" w:before="80" w:after="80"/>
        <w:ind w:left="420" w:right="420"/>
      </w:pPr>
      <w:r>
        <w:rPr>
          <w:rFonts w:ascii="黑体" w:hAnsi="黑体" w:eastAsia="黑体"/>
          <w:b/>
          <w:color w:val="FF0000"/>
          <w:sz w:val="24"/>
        </w:rPr>
        <w:t>【批注】尚未取得本诉传票、受理通知书和举证通知书。提交前补全案号，并核对质证意见提交期限。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案由：物业服务合同纠纷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提交人（本诉被告）：李国平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本诉原告：中铁建物业管理有限公司长沙分公司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就原告现已提交的《前期物业服务协议》和微信截图，发表质证意见如下。若原告另行补充证据，提交人保留补充质证的权利。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一、对《前期物业服务协议》（原告材料第1—12页）的质证意见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（一）真实性：对复印件的真实性及签名归属不予认可，请求核对原件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原告现提交的是扫描/复印材料，尚未出示协议原件。依据《最高人民法院关于民事诉讼证据的若干规定》第11、61、92条，原告既以该私文书证明李国平订约，就应当提交原件并对真实性承担举证责任。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协议第12页乙方栏虽书写“李国平”姓名并落款“2021年3月31日”，但李国平陈述该签名并非本人书写，而是交房时随行的律师朋友所签。该陈述目前尚需律师朋友证言、现场人员、录音录像、交房文件等补强，提交人不把它表述为已被裁判确认的事实。</w:t>
      </w:r>
    </w:p>
    <w:p>
      <w:pPr>
        <w:spacing w:line="360" w:lineRule="auto" w:before="80" w:after="80"/>
        <w:ind w:left="420" w:right="420"/>
      </w:pPr>
      <w:r>
        <w:rPr>
          <w:rFonts w:ascii="黑体" w:hAnsi="黑体" w:eastAsia="黑体"/>
          <w:b/>
          <w:color w:val="FF0000"/>
          <w:sz w:val="24"/>
        </w:rPr>
        <w:t>【批注】这是当事人陈述，不是已查明事实。应尽快取得律师朋友证言并申请其出庭；如朋友代签已被双方承认，笔迹鉴定通常不再解决授权问题。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协议甲方处仅见公司印章，负责人签章和甲方日期空白；协议正文从第14条跳至第18条。上述情形未必单独导致合同不成立，但会影响对原件完整性、形成过程和签署日期的判断，应由原告说明并提供原件、用印审批和经办记录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（二）关联性和签署归属：纸面有姓名不等于行为当然归属于李国平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如果原告承认是律师朋友代签，则争点不是“是否李国平亲笔”，而是朋友是否获得签约授权、李国平是否事后追认，以及原告是否有理由相信其有代理权。此时通常没有必要仅为证明“不是李国平笔迹”而鉴定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李国平最新陈述是：交房时本人因原告不能提供前期物业招投标、合同等资料而明确拒签；原告坚持“不签字不能收房”；随后由随行律师朋友签名。若李国平当场拒签且原告知情，该事实将直接削弱原告关于善意、无过失及表见代理的主张。律师职业身份只能证明其可能具备法律知识，不能替代具体授权，更不能当然证明李国平同意其代签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如果原告坚持签名由李国平本人书写，应先提交原件、说明签署时间地点和在场人员，并由其就私文书真实性完成初步证明；必要时由法院释明鉴定。不能笼统表述为“原告不申请鉴定即当然败诉”，也不能把朋友代签错误描述为原告伪造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原告还应证明追认。后续由谁支付物业费、支付备注、收款账户、票据抬头、李国平是否知道个人协议内容后仍履行，均会影响《民法典》第171、172、503条的判断。现有微信截图只称“之前物业费都是一年一交”，没有支付流水和付款人身份，尚不足以证明李国平追认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（三）合法性及证明力：即使文件真实，也不能当然证明本诉全部债权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协议第1.6条、第2.4条明确把收费依据连接到开发商与物业签订的《前期物业服务合同》。原告却未提交该基础合同、附件、招投标和总分公司授权材料。现有材料最多证明原告持有一份个人协议复印件，不能独立证明建设单位前期合同系依法订立、对应12栋并在欠费期间持续有效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协议记载房屋建筑面积112.38㎡、日期2021年3月31日（第1、12页），起诉状却记载91.97㎡、2021年3月21日。产权页也记载112.38㎡（证据D1第50页）。诉请10,384.08元恰好等于按112.38㎡计算的月费247.24元乘42个月。原告应更正事实陈述并提交逐期账单、舍入规则、已付/未付台账；该矛盾不能由法院替原告补足说明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第5.2（2）项、第12.4条约定逾期按日5‰承担违约金，属于物业单方预拟的重大异常条款，文本未见加粗、框线、单独签字等显著提示，也未见解释说明证据。该标准按单利年化约182.5%，显著偏高。提交人主张该条款不成为合同内容；即使法院认为其进入合同，也应审查其是否不合理加重业主责任，并在原告实际提出请求时依《民法典》第585条大幅调减。原告诉讼请求目前仅列本金和诉讼费，理由中提到违约金不能替代明确的诉请、金额和算法，法院不应超出诉请裁判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第2.14条及第11条把邮件未签收、退回、张贴等一律拟制为送达，不应理解为免除原告对催告到达和诉讼时效中断的举证责任，更不能替代法院法定送达。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5. 第1.12条及第9条将共有区域经营收益交由甲方支配，缺乏业主决定、账目公开和成本审查机制；第2.8条概括要求业主为承租人、使用人、访客行为承担连带责任；第12.5条单向转嫁律师费等费用，均属应由原告证明提示说明、并依《民法典》第496—498条分别审查是否不成为合同内容或无效的格式条款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6. 第8、10条关于财产保管和治安事件的责任界定不能解释为原告对其故意、重大过失或未履行物业服务法定义务一概免责。第5.3条关于空置房物业费并非当然无效，但其中公共能耗、车位费、垃圾费等额外项目仍须逐项证明收费依据和实际发生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（四）对该证据证明目的的结论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对协议复印件的原件同一性和乙方签名归属不予认可；对其与12栋503室、112.38㎡及2.2元单价的表面关联性予以注意，但不认可其足以证明：李国平本人订约或授权朋友订约、原告完成格式条款提示说明、基础前期合同依法订立、2023年至2026年全部期间均已按约履行、全部欠费和附加费用计算准确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二、对微信截图（原告材料第13页）的质证意见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（一）真实性和完整性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截图是多段聊天拼图，没有展示微信号、实名信息、完整首尾、原始设备、导出过程及所有语音/转账内容。请求原告出示原始手机和完整聊天记录，说明制作人、提取方式和形成时间。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聊天账号虽显示“12栋1单元503”，但物业人员使用“美女”“李姐/李女士”等称谓。现有页面不能证明对话人是李国平，也不能证明李国平控制该账号或亲自作出任何承认。</w:t>
      </w:r>
    </w:p>
    <w:p>
      <w:pPr>
        <w:spacing w:line="360" w:lineRule="auto" w:before="80" w:after="80"/>
        <w:ind w:left="420" w:right="420"/>
      </w:pPr>
      <w:r>
        <w:rPr>
          <w:rFonts w:ascii="黑体" w:hAnsi="黑体" w:eastAsia="黑体"/>
          <w:b/>
          <w:color w:val="FF0000"/>
          <w:sz w:val="24"/>
        </w:rPr>
        <w:t>【批注】应调取微信账号实名、完整原始聊天和付款流水。只凭截图中的称谓不能反向认定具体对话人是谁。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（二）关联性和证明力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截图中物业人员单方称面积112.38㎡、月费247.24元、已缴至2022年12月31日。该内容可反向证明起诉状91.97㎡记载错误，但不能单独证明付款人、付款金额、付款性质及李国平追认个人协议。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截图没有完整展示针对2023年1月1日至2026年6月30日每一期欠费的催缴、送达和合理期限，也无账单、发票或回款记录。其不足以单独证明全部债权，更不足以证明所有分期债权均发生诉讼时效中断。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截图还显示业主一方曾反映电动车堵塞出行并索要招投标、收费、验收等资料，物业回复将提供文件，但页面未证明文件最终交付。这部分至少说明双方对服务和资料公开存在争议，不能截取其中催费内容而排除上下文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（三）质证结论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对截图打印件的真实性、完整性及账号主体均不予认可；对其中原告工作人员作出的112.38㎡、247.24元/月等于己不利陈述，请法院结合产权证和原告其他材料审查。该截图不能单独证明李国平收到有效催告、承认欠费、完成追认或原告已经全面履约。</w:t>
      </w:r>
    </w:p>
    <w:p>
      <w:pPr>
        <w:spacing w:line="360" w:lineRule="auto" w:before="40" w:after="0"/>
      </w:pPr>
      <w:r>
        <w:rPr>
          <w:rFonts w:ascii="黑体" w:hAnsi="黑体" w:eastAsia="黑体"/>
          <w:b/>
          <w:sz w:val="30"/>
        </w:rPr>
        <w:t>三、原告尚须补充的核心证据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1. 个人协议原件、用印记录、签署经办人及现场记录；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2. 建设单位B/C区前期物业服务合同原件、全部附件、服务期限和12栋区域图；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3. 中标通知书、招标文件、投标文件、评标报告、候选人及总公司授权分公司签约履约材料；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4. 2023—2026年逐期收费台账、发票、已付款流水、欠费计算表和会计原始凭证；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5. 该期间服务计划、人员排班、保洁/巡查/维修/绿化/设备维保、投诉处置及公开公示记录；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6. 所有催缴函、快递轨迹、签收或退回材料、完整电子聊天和账号实名信息；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7. 2016年5月与8月31日合同日期差异的原件及书面解释；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8. 本案原告营业执照、负责人身份证明、总公司授权及债权归属材料。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此致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长沙市开福区人民法院</w:t>
      </w:r>
    </w:p>
    <w:p>
      <w:pPr>
        <w:spacing w:line="360" w:lineRule="auto" w:before="0" w:after="0"/>
      </w:pPr>
      <w:r>
        <w:rPr>
          <w:rFonts w:ascii="仿宋_GB2312" w:hAnsi="仿宋_GB2312" w:eastAsia="仿宋_GB2312"/>
          <w:b w:val="0"/>
          <w:sz w:val="30"/>
        </w:rPr>
        <w:t>提交人：李国平</w:t>
      </w:r>
    </w:p>
    <w:p>
      <w:pPr>
        <w:spacing w:line="360" w:lineRule="auto" w:before="0" w:after="0"/>
        <w:ind w:firstLine="629"/>
      </w:pPr>
      <w:r>
        <w:rPr>
          <w:rFonts w:ascii="仿宋_GB2312" w:hAnsi="仿宋_GB2312" w:eastAsia="仿宋_GB2312"/>
          <w:b w:val="0"/>
          <w:sz w:val="30"/>
        </w:rPr>
        <w:t>日期：2026年　月　日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587" w:right="1587" w:bottom="1417" w:left="1701" w:header="72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r>
      <w:rPr>
        <w:rFonts w:ascii="宋体" w:hAnsi="宋体" w:eastAsia="宋体"/>
        <w:b w:val="0"/>
        <w:sz w:val="21"/>
      </w:rPr>
      <w:t>1</w:t>
    </w:r>
    <w:r>
      <w:rPr>
        <w:rFonts w:ascii="宋体" w:hAnsi="宋体" w:eastAsia="宋体"/>
        <w:b w:val="0"/>
        <w:sz w:val="21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仿宋_GB2312" w:hAnsi="仿宋_GB2312" w:eastAsia="仿宋_GB2312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