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pPr>
      <w:r>
        <w:rPr>
          <w:rFonts w:ascii="宋体" w:hAnsi="宋体" w:eastAsia="宋体"/>
          <w:b/>
          <w:sz w:val="44"/>
        </w:rPr>
        <w:t>李国平物业费案庭审抗辩观点清单</w:t>
      </w:r>
    </w:p>
    <w:p>
      <w:pPr>
        <w:spacing w:line="360" w:lineRule="auto" w:before="0" w:after="0"/>
        <w:ind w:firstLine="629"/>
      </w:pPr>
      <w:r>
        <w:rPr>
          <w:rFonts w:ascii="仿宋_GB2312" w:hAnsi="仿宋_GB2312" w:eastAsia="仿宋_GB2312"/>
          <w:b w:val="0"/>
          <w:sz w:val="30"/>
        </w:rPr>
        <w:t>编制日期：2026年9月2日</w:t>
      </w:r>
    </w:p>
    <w:p>
      <w:pPr>
        <w:spacing w:line="360" w:lineRule="auto" w:before="0" w:after="0"/>
        <w:ind w:firstLine="629"/>
      </w:pPr>
      <w:r>
        <w:rPr>
          <w:rFonts w:ascii="仿宋_GB2312" w:hAnsi="仿宋_GB2312" w:eastAsia="仿宋_GB2312"/>
          <w:b w:val="0"/>
          <w:sz w:val="30"/>
        </w:rPr>
        <w:t>用途：庭前审阅、庭审发言和补证决策，不替代签字提交的答辩状</w:t>
      </w:r>
    </w:p>
    <w:p>
      <w:pPr>
        <w:spacing w:line="360" w:lineRule="auto" w:before="40" w:after="0"/>
      </w:pPr>
      <w:r>
        <w:rPr>
          <w:rFonts w:ascii="黑体" w:hAnsi="黑体" w:eastAsia="黑体"/>
          <w:b/>
          <w:sz w:val="30"/>
        </w:rPr>
        <w:t>一、审查范围与先行结论</w:t>
      </w:r>
    </w:p>
    <w:p>
      <w:pPr>
        <w:spacing w:line="360" w:lineRule="auto" w:before="0" w:after="0"/>
        <w:ind w:firstLine="629"/>
      </w:pPr>
      <w:r>
        <w:rPr>
          <w:rFonts w:ascii="仿宋_GB2312" w:hAnsi="仿宋_GB2312" w:eastAsia="仿宋_GB2312"/>
          <w:b w:val="0"/>
          <w:sz w:val="30"/>
        </w:rPr>
        <w:t>本清单已经审阅：物业公司《民事起诉状》（P1，第1页）、《前期物业服务协议》（P2，第1—12页）、微信截图（P3，第13页）、现有B/C区前期物业服务合同扫描件（D2，第1—25页）、A区合同、2016年中标通知书及备案表、驻长备案续证、2025年备案材料、长沙市住建部门回复、（2025）湘0105民初27046号民事判决及庭审笔录、（2026）湘8601行初374号行政判决、长府复驳字〔2025〕992号复议文书和（2026）湘01行初102号行政裁定。页码均指PDF物理页。</w:t>
      </w:r>
    </w:p>
    <w:p>
      <w:pPr>
        <w:spacing w:line="360" w:lineRule="auto" w:before="0" w:after="0"/>
        <w:ind w:firstLine="629"/>
      </w:pPr>
      <w:r>
        <w:rPr>
          <w:rFonts w:ascii="仿宋_GB2312" w:hAnsi="仿宋_GB2312" w:eastAsia="仿宋_GB2312"/>
          <w:b w:val="0"/>
          <w:sz w:val="30"/>
        </w:rPr>
        <w:t>本轮还检索了/home/luckydorothy/codex/Claude-memory及相关山语城案件目录。截至成稿时，仍未检出本诉传票、受理通知书、举证通知书、本诉正式证据目录、个人协议原件、2016年5月31日完整合同原件、收费核定原件、完整收费台账、完整催告记录、2023—2026年履约台账、天台事故微信群原始聊天及照片、（2025）湘0105民初27046号案民事二审终审文书。“未检出”不等于客观不存在。</w:t>
      </w:r>
    </w:p>
    <w:p>
      <w:pPr>
        <w:spacing w:line="360" w:lineRule="auto" w:before="80" w:after="80"/>
        <w:ind w:left="420" w:right="420"/>
      </w:pPr>
      <w:r>
        <w:rPr>
          <w:rFonts w:ascii="黑体" w:hAnsi="黑体" w:eastAsia="黑体"/>
          <w:b/>
          <w:color w:val="FF0000"/>
          <w:sz w:val="24"/>
        </w:rPr>
        <w:t>【批注】程序信息是当前最紧急缺口。取得传票、受理通知和举证通知后，应立即补入本诉案号、立案日、开庭时间、举证和反诉期限。</w:t>
      </w:r>
    </w:p>
    <w:p>
      <w:pPr>
        <w:spacing w:line="360" w:lineRule="auto" w:before="80" w:after="80"/>
        <w:ind w:left="420" w:right="420"/>
      </w:pPr>
      <w:r>
        <w:rPr>
          <w:rFonts w:ascii="黑体" w:hAnsi="黑体" w:eastAsia="黑体"/>
          <w:b/>
          <w:color w:val="FF0000"/>
          <w:sz w:val="24"/>
        </w:rPr>
        <w:t>【批注】本轮只找到民事上诉状，未找到二审案号、受理通知或终审裁判。开庭前必须向法院、电子送达平台或原代理人核实最新状态。</w:t>
      </w:r>
    </w:p>
    <w:p>
      <w:pPr>
        <w:spacing w:line="360" w:lineRule="auto" w:before="0" w:after="0"/>
        <w:ind w:firstLine="629"/>
      </w:pPr>
      <w:r>
        <w:rPr>
          <w:rFonts w:ascii="仿宋_GB2312" w:hAnsi="仿宋_GB2312" w:eastAsia="仿宋_GB2312"/>
          <w:b w:val="0"/>
          <w:sz w:val="30"/>
        </w:rPr>
        <w:t>原告现有诉讼请求只有：支付2023年1月1日至2026年6月30日物业费10,384.08元，并承担诉讼费用。起诉状事实理由提到“相应违约金”，但诉讼请求没有列出违约金、利息、律师费或催收费的金额和计算方法。</w:t>
      </w:r>
    </w:p>
    <w:p>
      <w:pPr>
        <w:spacing w:line="360" w:lineRule="auto" w:before="0" w:after="0"/>
        <w:ind w:firstLine="629"/>
      </w:pPr>
      <w:r>
        <w:rPr>
          <w:rFonts w:ascii="仿宋_GB2312" w:hAnsi="仿宋_GB2312" w:eastAsia="仿宋_GB2312"/>
          <w:b w:val="0"/>
          <w:sz w:val="30"/>
        </w:rPr>
        <w:t>时间效力方面：2016年基础前期物业合同的订立及效力，原则上适用当时有效的《中华人民共和国合同法》及当时物业管理规范；2021年个人协议、2023—2026年服务和收费事实原则上适用《中华人民共和国民法典》；当前举证、鉴定、书证提出命令和中止审理适用现行民事诉讼法及证据规则。[最高人民法院：民法典时间效力规定第1、9、20条](https://www.court.gov.cn/shenpan/xiangqing/282051.html)</w:t>
      </w:r>
    </w:p>
    <w:p>
      <w:pPr>
        <w:spacing w:line="360" w:lineRule="auto" w:before="40" w:after="0"/>
      </w:pPr>
      <w:r>
        <w:rPr>
          <w:rFonts w:ascii="黑体" w:hAnsi="黑体" w:eastAsia="黑体"/>
          <w:b/>
          <w:sz w:val="30"/>
        </w:rPr>
        <w:t>二、已有材料支持、建议优先提出</w:t>
      </w:r>
    </w:p>
    <w:p>
      <w:pPr>
        <w:spacing w:line="360" w:lineRule="auto" w:before="40" w:after="0"/>
      </w:pPr>
      <w:r>
        <w:rPr>
          <w:rFonts w:ascii="黑体" w:hAnsi="黑体" w:eastAsia="黑体"/>
          <w:b/>
          <w:sz w:val="30"/>
        </w:rPr>
        <w:t>1. 原告现有证据尚未形成“请求权基础—服务期间—计费参数—逐期账目—催告”的完整证明链</w:t>
      </w:r>
    </w:p>
    <w:p>
      <w:pPr>
        <w:spacing w:line="360" w:lineRule="auto" w:before="0" w:after="0"/>
        <w:ind w:firstLine="629"/>
      </w:pPr>
      <w:r>
        <w:rPr>
          <w:rFonts w:ascii="仿宋_GB2312" w:hAnsi="仿宋_GB2312" w:eastAsia="仿宋_GB2312"/>
          <w:b w:val="0"/>
          <w:sz w:val="30"/>
        </w:rPr>
        <w:t>- 抗辩观点：针对10,384.08元全部本金，要求原告明确究竟以2021年个人协议、建设单位签订的基础前期物业合同，还是事实物业服务关系作为请求权基础，并逐项证明其有权收费、合同覆盖涉案房屋和期间、实际提供约定服务、逐期应收实收及余额。不能以一份有争议的个人协议和一页聊天拼图替代全部构成事实。</w:t>
      </w:r>
    </w:p>
    <w:p>
      <w:pPr>
        <w:spacing w:line="360" w:lineRule="auto" w:before="0" w:after="0"/>
        <w:ind w:firstLine="629"/>
      </w:pPr>
      <w:r>
        <w:rPr>
          <w:rFonts w:ascii="仿宋_GB2312" w:hAnsi="仿宋_GB2312" w:eastAsia="仿宋_GB2312"/>
          <w:b w:val="0"/>
          <w:sz w:val="30"/>
        </w:rPr>
        <w:t>- 事实和证据：P1第1页只有概括事实；P2第1—12页是个人协议复印件；P3第13页是聊天截图。原告未随案提交基础前期物业合同、区域附件、收费审批/备案、物业费明细账、发票、催告送达或2023—2026年服务台账。D2、D4等关联材料虽显示曾有B/C区合同和中标结果，但并非原告本诉举证，也不能自动补齐本案每一项债权事实。</w:t>
      </w:r>
    </w:p>
    <w:p>
      <w:pPr>
        <w:spacing w:line="360" w:lineRule="auto" w:before="0" w:after="0"/>
        <w:ind w:firstLine="629"/>
      </w:pPr>
      <w:r>
        <w:rPr>
          <w:rFonts w:ascii="仿宋_GB2312" w:hAnsi="仿宋_GB2312" w:eastAsia="仿宋_GB2312"/>
          <w:b w:val="0"/>
          <w:sz w:val="30"/>
        </w:rPr>
        <w:t>- 法律依据：《民事诉讼法》第六十七条第一款规定“谁主张、谁举证”；《民法典》第九百四十四条第一款以物业服务人已经按照约定和有关规定提供服务为业主支付义务的重要前提。[现行民事诉讼法全文（广州海珠法院官方PDF）](https://www.gzhzcourt.gov.cn/upload/editor/file/2025/08/04/6388989731436328121054632.pdf)；[民法典第944条](https://www.court.gov.cn/zixun/xiangqing/233181.html)</w:t>
      </w:r>
    </w:p>
    <w:p>
      <w:pPr>
        <w:spacing w:line="360" w:lineRule="auto" w:before="0" w:after="0"/>
        <w:ind w:firstLine="629"/>
      </w:pPr>
      <w:r>
        <w:rPr>
          <w:rFonts w:ascii="仿宋_GB2312" w:hAnsi="仿宋_GB2312" w:eastAsia="仿宋_GB2312"/>
          <w:b w:val="0"/>
          <w:sz w:val="30"/>
        </w:rPr>
        <w:t>- 实际作用：首先影响全部本金能否获得支持；原告补证后，作用可能转为缩减费率、期间或金额，而非当然驳回全部请求。</w:t>
      </w:r>
    </w:p>
    <w:p>
      <w:pPr>
        <w:spacing w:line="360" w:lineRule="auto" w:before="0" w:after="0"/>
        <w:ind w:firstLine="629"/>
      </w:pPr>
      <w:r>
        <w:rPr>
          <w:rFonts w:ascii="仿宋_GB2312" w:hAnsi="仿宋_GB2312" w:eastAsia="仿宋_GB2312"/>
          <w:b w:val="0"/>
          <w:sz w:val="30"/>
        </w:rPr>
        <w:t>- 证据缺口与对方可能反驳：对方会主张长期实际服务、业主长期缴费足以证明关系。回应应是：不否认法院可综合长期履行认定法律关系，但长期服务不能替代对具体区域、费率、42个月账目及欠费余额的证明；要求逐项补证并给予我方书面质证期。</w:t>
      </w:r>
    </w:p>
    <w:p>
      <w:pPr>
        <w:spacing w:line="360" w:lineRule="auto" w:before="0" w:after="0"/>
        <w:ind w:firstLine="629"/>
      </w:pPr>
      <w:r>
        <w:rPr>
          <w:rFonts w:ascii="仿宋_GB2312" w:hAnsi="仿宋_GB2312" w:eastAsia="仿宋_GB2312"/>
          <w:b w:val="0"/>
          <w:sz w:val="30"/>
        </w:rPr>
        <w:t>- 优先级：高。这是不依赖基础合同整体无效结论、且直接针对本诉请求的主防线。</w:t>
      </w:r>
    </w:p>
    <w:p>
      <w:pPr>
        <w:spacing w:line="360" w:lineRule="auto" w:before="40" w:after="0"/>
      </w:pPr>
      <w:r>
        <w:rPr>
          <w:rFonts w:ascii="黑体" w:hAnsi="黑体" w:eastAsia="黑体"/>
          <w:b/>
          <w:sz w:val="30"/>
        </w:rPr>
        <w:t>2. 起诉状记载的协议日期、计费面积与其证据不一致，诉请金额实际采用了另一套数据</w:t>
      </w:r>
    </w:p>
    <w:p>
      <w:pPr>
        <w:spacing w:line="360" w:lineRule="auto" w:before="0" w:after="0"/>
        <w:ind w:firstLine="629"/>
      </w:pPr>
      <w:r>
        <w:rPr>
          <w:rFonts w:ascii="仿宋_GB2312" w:hAnsi="仿宋_GB2312" w:eastAsia="仿宋_GB2312"/>
          <w:b w:val="0"/>
          <w:sz w:val="30"/>
        </w:rPr>
        <w:t>- 抗辩观点：针对全部本金的计算基础，要求原告更正起诉事实并说明计算链；在面积、日期和账目未统一前，不应直接按诉请金额判付。</w:t>
      </w:r>
    </w:p>
    <w:p>
      <w:pPr>
        <w:spacing w:line="360" w:lineRule="auto" w:before="0" w:after="0"/>
        <w:ind w:firstLine="629"/>
      </w:pPr>
      <w:r>
        <w:rPr>
          <w:rFonts w:ascii="仿宋_GB2312" w:hAnsi="仿宋_GB2312" w:eastAsia="仿宋_GB2312"/>
          <w:b w:val="0"/>
          <w:sz w:val="30"/>
        </w:rPr>
        <w:t>- 事实和证据：P1第1页写协议订立日为2021年3月21日、建筑面积91.97㎡；P2第1页写112.38㎡，第12页签署日期为2021年3月31日；D1产权页亦记载建筑面积112.38㎡。112.38×2.2=247.236元/月，如先四舍五入为247.24元，再乘42个月，恰为10,384.08元；按91.97㎡则无法得出该诉请金额。</w:t>
      </w:r>
    </w:p>
    <w:p>
      <w:pPr>
        <w:spacing w:line="360" w:lineRule="auto" w:before="0" w:after="0"/>
        <w:ind w:firstLine="629"/>
      </w:pPr>
      <w:r>
        <w:rPr>
          <w:rFonts w:ascii="仿宋_GB2312" w:hAnsi="仿宋_GB2312" w:eastAsia="仿宋_GB2312"/>
          <w:b w:val="0"/>
          <w:sz w:val="30"/>
        </w:rPr>
        <w:t>- 法律依据：《民法典》第五百一十一条关于价款或报酬不明确时的补充规则；《民事诉讼法》第六十七条关于举证责任。[民法典全文](https://www.court.gov.cn/zixun/xiangqing/233181.html)；[现行民事诉讼法全文](https://www.gzhzcourt.gov.cn/upload/editor/file/2025/08/04/6388989731436328121054632.pdf)</w:t>
      </w:r>
    </w:p>
    <w:p>
      <w:pPr>
        <w:spacing w:line="360" w:lineRule="auto" w:before="0" w:after="0"/>
        <w:ind w:firstLine="629"/>
      </w:pPr>
      <w:r>
        <w:rPr>
          <w:rFonts w:ascii="仿宋_GB2312" w:hAnsi="仿宋_GB2312" w:eastAsia="仿宋_GB2312"/>
          <w:b w:val="0"/>
          <w:sz w:val="30"/>
        </w:rPr>
        <w:t>- 实际作用：主要影响本金数额、逐月舍入和事实认定；这一矛盾很可能被认定为起诉状笔误，本身通常不足以驳回全部诉请。</w:t>
      </w:r>
    </w:p>
    <w:p>
      <w:pPr>
        <w:spacing w:line="360" w:lineRule="auto" w:before="0" w:after="0"/>
        <w:ind w:firstLine="629"/>
      </w:pPr>
      <w:r>
        <w:rPr>
          <w:rFonts w:ascii="仿宋_GB2312" w:hAnsi="仿宋_GB2312" w:eastAsia="仿宋_GB2312"/>
          <w:b w:val="0"/>
          <w:sz w:val="30"/>
        </w:rPr>
        <w:t>- 证据缺口与对方可能反驳：需原告提交逐月或逐半年明细、收费软件导出账、会计账和舍入规则。若原告更正为112.38㎡，我方应转而审查费率和已付款，不能继续把91.97㎡当作当然正确面积。</w:t>
      </w:r>
    </w:p>
    <w:p>
      <w:pPr>
        <w:spacing w:line="360" w:lineRule="auto" w:before="0" w:after="0"/>
        <w:ind w:firstLine="629"/>
      </w:pPr>
      <w:r>
        <w:rPr>
          <w:rFonts w:ascii="仿宋_GB2312" w:hAnsi="仿宋_GB2312" w:eastAsia="仿宋_GB2312"/>
          <w:b w:val="0"/>
          <w:sz w:val="30"/>
        </w:rPr>
        <w:t>- 优先级：高。客观、可计算，法庭容易把握。</w:t>
      </w:r>
    </w:p>
    <w:p>
      <w:pPr>
        <w:spacing w:line="360" w:lineRule="auto" w:before="40" w:after="0"/>
      </w:pPr>
      <w:r>
        <w:rPr>
          <w:rFonts w:ascii="黑体" w:hAnsi="黑体" w:eastAsia="黑体"/>
          <w:b/>
          <w:sz w:val="30"/>
        </w:rPr>
        <w:t>3. 个人协议必须先解决原件、签署人和代理权三个不同问题</w:t>
      </w:r>
    </w:p>
    <w:p>
      <w:pPr>
        <w:spacing w:line="360" w:lineRule="auto" w:before="0" w:after="0"/>
        <w:ind w:firstLine="629"/>
      </w:pPr>
      <w:r>
        <w:rPr>
          <w:rFonts w:ascii="仿宋_GB2312" w:hAnsi="仿宋_GB2312" w:eastAsia="仿宋_GB2312"/>
          <w:b w:val="0"/>
          <w:sz w:val="30"/>
        </w:rPr>
        <w:t>- 抗辩观点：针对原告以P2证明李国平亲自订约或受约束的目的，明确提出：现仅有复印件；李国平不认可系本人亲笔签署；若确由朋友代签，原告还须证明授权、追认或表见代理。文件图像真实、签名由谁书写、签署后果是否归属于李国平，不能混为一谈。</w:t>
      </w:r>
    </w:p>
    <w:p>
      <w:pPr>
        <w:spacing w:line="360" w:lineRule="auto" w:before="0" w:after="0"/>
        <w:ind w:firstLine="629"/>
      </w:pPr>
      <w:r>
        <w:rPr>
          <w:rFonts w:ascii="仿宋_GB2312" w:hAnsi="仿宋_GB2312" w:eastAsia="仿宋_GB2312"/>
          <w:b w:val="0"/>
          <w:sz w:val="30"/>
        </w:rPr>
        <w:t>- 事实和证据：P2第12页乙方栏署“李国平”及日期，甲方盖章但负责人签章和甲方日期空白。李国平现陈述系同行律师朋友代签、本人此前明确拒签；当前目录内尚无该朋友证言、现场录音录像或书面授权，因此“朋友代签且无权代理”目前仍属待证主张。P3第13页又记载费用已交至2022年12月31日，这是可能对我方不利的追认线索，但付款人及付款依据未明。</w:t>
      </w:r>
    </w:p>
    <w:p>
      <w:pPr>
        <w:spacing w:line="360" w:lineRule="auto" w:before="80" w:after="80"/>
        <w:ind w:left="420" w:right="420"/>
      </w:pPr>
      <w:r>
        <w:rPr>
          <w:rFonts w:ascii="黑体" w:hAnsi="黑体" w:eastAsia="黑体"/>
          <w:b/>
          <w:color w:val="FF0000"/>
          <w:sz w:val="24"/>
        </w:rPr>
        <w:t>【批注】目前仅为李国平陈述，尚无证人证言、录音录像或交房经办记录。提交法庭时必须明确其待证性质；证人应说明李国平是否最终同意或默许代签。</w:t>
      </w:r>
    </w:p>
    <w:p>
      <w:pPr>
        <w:spacing w:line="360" w:lineRule="auto" w:before="80" w:after="80"/>
        <w:ind w:left="420" w:right="420"/>
      </w:pPr>
      <w:r>
        <w:rPr>
          <w:rFonts w:ascii="黑体" w:hAnsi="黑体" w:eastAsia="黑体"/>
          <w:b/>
          <w:color w:val="FF0000"/>
          <w:sz w:val="24"/>
        </w:rPr>
        <w:t>【批注】这是潜在不利证据。若查明系李国平本人知情付款，物业将据此主张追认；应先核实付款人、付款账户、收据抬头、备注及付款依据。</w:t>
      </w:r>
    </w:p>
    <w:p>
      <w:pPr>
        <w:spacing w:line="360" w:lineRule="auto" w:before="0" w:after="0"/>
        <w:ind w:firstLine="629"/>
      </w:pPr>
      <w:r>
        <w:rPr>
          <w:rFonts w:ascii="仿宋_GB2312" w:hAnsi="仿宋_GB2312" w:eastAsia="仿宋_GB2312"/>
          <w:b w:val="0"/>
          <w:sz w:val="30"/>
        </w:rPr>
        <w:t>- 法律依据：《民法典》第171条规定无权代理未经追认对本人不发生效力，第172条规定表见代理，第503条规定本人开始履行或接受履行可能视为追认；总则编司法解释第28条规定表见代理须同时存在代理权外观及相对人善意无过失，并分配举证责任。《民事证据规定》第11、92条要求书证原件并由主张私文书真实性者承担证明责任。[民法典第171、172、503条](https://www.court.gov.cn/zixun/xiangqing/233181.html)；[总则编司法解释第28条](https://ipc.court.gov.cn/zh-cn/news/view-1792.html)；[民事证据规定第11、92条](https://www.court.gov.cn/zixun/xiangqing/212721.html)</w:t>
      </w:r>
    </w:p>
    <w:p>
      <w:pPr>
        <w:spacing w:line="360" w:lineRule="auto" w:before="0" w:after="0"/>
        <w:ind w:firstLine="629"/>
      </w:pPr>
      <w:r>
        <w:rPr>
          <w:rFonts w:ascii="仿宋_GB2312" w:hAnsi="仿宋_GB2312" w:eastAsia="仿宋_GB2312"/>
          <w:b w:val="0"/>
          <w:sz w:val="30"/>
        </w:rPr>
        <w:t>- 实际作用：可能排除P2作为李国平个人订立合同的依据；但即使P2对李国平不发生效力，基础前期合同或实际服务仍可能形成费用请求，不能直接推出全部免费。</w:t>
      </w:r>
    </w:p>
    <w:p>
      <w:pPr>
        <w:spacing w:line="360" w:lineRule="auto" w:before="0" w:after="0"/>
        <w:ind w:firstLine="629"/>
      </w:pPr>
      <w:r>
        <w:rPr>
          <w:rFonts w:ascii="仿宋_GB2312" w:hAnsi="仿宋_GB2312" w:eastAsia="仿宋_GB2312"/>
          <w:b w:val="0"/>
          <w:sz w:val="30"/>
        </w:rPr>
        <w:t>- 证据缺口与对方可能反驳：最缺律师朋友证言、交房经办人、授权范围、交房资料及2021—2022年付款流水。对方会主张李国平在场默许、朋友是律师足以形成可信外观、后续付款构成追认。回应重点是：职业身份不等于拥有代理权；若物业听见李国平明确反对，善意无过失难以成立；付款必须查清付款人、备注、是否基于本协议及是否附保留意见。</w:t>
      </w:r>
    </w:p>
    <w:p>
      <w:pPr>
        <w:spacing w:line="360" w:lineRule="auto" w:before="0" w:after="0"/>
        <w:ind w:firstLine="629"/>
      </w:pPr>
      <w:r>
        <w:rPr>
          <w:rFonts w:ascii="仿宋_GB2312" w:hAnsi="仿宋_GB2312" w:eastAsia="仿宋_GB2312"/>
          <w:b w:val="0"/>
          <w:sz w:val="30"/>
        </w:rPr>
        <w:t>- 优先级：高。直接决定P2的核心证明力，但胜负取决于补证。</w:t>
      </w:r>
    </w:p>
    <w:p>
      <w:pPr>
        <w:spacing w:line="360" w:lineRule="auto" w:before="40" w:after="0"/>
      </w:pPr>
      <w:r>
        <w:rPr>
          <w:rFonts w:ascii="黑体" w:hAnsi="黑体" w:eastAsia="黑体"/>
          <w:b/>
          <w:sz w:val="30"/>
        </w:rPr>
        <w:t>4. 微信拼图尚不足以证明向李国平本人催告、由李国平承认欠费或由李国平完成既往付款</w:t>
      </w:r>
    </w:p>
    <w:p>
      <w:pPr>
        <w:spacing w:line="360" w:lineRule="auto" w:before="0" w:after="0"/>
        <w:ind w:firstLine="629"/>
      </w:pPr>
      <w:r>
        <w:rPr>
          <w:rFonts w:ascii="仿宋_GB2312" w:hAnsi="仿宋_GB2312" w:eastAsia="仿宋_GB2312"/>
          <w:b w:val="0"/>
          <w:sz w:val="30"/>
        </w:rPr>
        <w:t>- 抗辩观点：针对原告以P3证明催告到达、债务承认、既往付款和时效中断的目的，要求提供原始手机、完整连续聊天、双方账号资料及转账/收据对应关系。</w:t>
      </w:r>
    </w:p>
    <w:p>
      <w:pPr>
        <w:spacing w:line="360" w:lineRule="auto" w:before="0" w:after="0"/>
        <w:ind w:firstLine="629"/>
      </w:pPr>
      <w:r>
        <w:rPr>
          <w:rFonts w:ascii="仿宋_GB2312" w:hAnsi="仿宋_GB2312" w:eastAsia="仿宋_GB2312"/>
          <w:b w:val="0"/>
          <w:sz w:val="30"/>
        </w:rPr>
        <w:t>- 事实和证据：P3第13页显示账号名“12栋1单元503”，物业人员称对方“美女”“李姐”“李女士”，并称费用交至2022年12月31日；截图没有完整账号身份、连续上下文、制作日期和原始载体，不能仅凭房号判断接收人必为李国平。</w:t>
      </w:r>
    </w:p>
    <w:p>
      <w:pPr>
        <w:spacing w:line="360" w:lineRule="auto" w:before="0" w:after="0"/>
        <w:ind w:firstLine="629"/>
      </w:pPr>
      <w:r>
        <w:rPr>
          <w:rFonts w:ascii="仿宋_GB2312" w:hAnsi="仿宋_GB2312" w:eastAsia="仿宋_GB2312"/>
          <w:b w:val="0"/>
          <w:sz w:val="30"/>
        </w:rPr>
        <w:t>- 法律依据：《民事证据规定》第14、15条将即时通信、通讯群组等列为电子数据并要求提交原件；第90条规定存疑电子数据不能单独定案；第93—95条规定电子数据真实性及证据控制后果。《民法典》第195条规定有效履行请求、债务人同意履行等可中断时效。[民事证据规定](https://www.court.gov.cn/zixun/xiangqing/212721.html)；[民法典第195条](https://www.court.gov.cn/zixun/xiangqing/233181.html)</w:t>
      </w:r>
    </w:p>
    <w:p>
      <w:pPr>
        <w:spacing w:line="360" w:lineRule="auto" w:before="0" w:after="0"/>
        <w:ind w:firstLine="629"/>
      </w:pPr>
      <w:r>
        <w:rPr>
          <w:rFonts w:ascii="仿宋_GB2312" w:hAnsi="仿宋_GB2312" w:eastAsia="仿宋_GB2312"/>
          <w:b w:val="0"/>
          <w:sz w:val="30"/>
        </w:rPr>
        <w:t>- 实际作用：影响催告、起诉条件、时效中断和追认判断；通常不因这一张截图不足就当然免除本金。</w:t>
      </w:r>
    </w:p>
    <w:p>
      <w:pPr>
        <w:spacing w:line="360" w:lineRule="auto" w:before="0" w:after="0"/>
        <w:ind w:firstLine="629"/>
      </w:pPr>
      <w:r>
        <w:rPr>
          <w:rFonts w:ascii="仿宋_GB2312" w:hAnsi="仿宋_GB2312" w:eastAsia="仿宋_GB2312"/>
          <w:b w:val="0"/>
          <w:sz w:val="30"/>
        </w:rPr>
        <w:t>- 证据缺口与对方可能反驳：需核验微信实名/绑定手机号、聊天对象是谁、是否由共有人使用、完整聊天和转账。若对方证明系熊领翠接收，还需进一步说明其是否代表李国平收取催告或承认共同债务，不能自动归属于李国平。</w:t>
      </w:r>
    </w:p>
    <w:p>
      <w:pPr>
        <w:spacing w:line="360" w:lineRule="auto" w:before="0" w:after="0"/>
        <w:ind w:firstLine="629"/>
      </w:pPr>
      <w:r>
        <w:rPr>
          <w:rFonts w:ascii="仿宋_GB2312" w:hAnsi="仿宋_GB2312" w:eastAsia="仿宋_GB2312"/>
          <w:b w:val="0"/>
          <w:sz w:val="30"/>
        </w:rPr>
        <w:t>- 优先级：高。现有截图内部称谓与被告身份明显不合。</w:t>
      </w:r>
    </w:p>
    <w:p>
      <w:pPr>
        <w:spacing w:line="360" w:lineRule="auto" w:before="40" w:after="0"/>
      </w:pPr>
      <w:r>
        <w:rPr>
          <w:rFonts w:ascii="黑体" w:hAnsi="黑体" w:eastAsia="黑体"/>
          <w:b/>
          <w:sz w:val="30"/>
        </w:rPr>
        <w:t>5. 两个合同日期可以作为“版本待查”的反证提交，但目前不能证明其中一份伪造</w:t>
      </w:r>
    </w:p>
    <w:p>
      <w:pPr>
        <w:spacing w:line="360" w:lineRule="auto" w:before="0" w:after="0"/>
        <w:ind w:firstLine="629"/>
      </w:pPr>
      <w:r>
        <w:rPr>
          <w:rFonts w:ascii="仿宋_GB2312" w:hAnsi="仿宋_GB2312" w:eastAsia="仿宋_GB2312"/>
          <w:b w:val="0"/>
          <w:sz w:val="30"/>
        </w:rPr>
        <w:t>- 抗辩观点：针对原告若援引基础前期物业合同证明第939条约束力，应要求其锁定具体版本、日期、原件、附件和实际履行版本，并解释行政回复与签章页的时间差异。</w:t>
      </w:r>
    </w:p>
    <w:p>
      <w:pPr>
        <w:spacing w:line="360" w:lineRule="auto" w:before="0" w:after="0"/>
        <w:ind w:firstLine="629"/>
      </w:pPr>
      <w:r>
        <w:rPr>
          <w:rFonts w:ascii="仿宋_GB2312" w:hAnsi="仿宋_GB2312" w:eastAsia="仿宋_GB2312"/>
          <w:b w:val="0"/>
          <w:sz w:val="30"/>
        </w:rPr>
        <w:t>- 事实和证据：D2第1—25页是本轮找到的唯一一份完整B/C区合同扫描件，其中第12页原始图显示签章日期为2016年8月31日；D8第40—41页的长沙市住建部门回复则称2016年4月完成招投标、2016年5月与长沙分公司签约。当前目录未检出“2016年5月31日”的另一份完整合同原件。根据《民事证据规定》第91条，经档案机关或制作机关核验一致的复制件具有更强证明力，故行政案中取得的合同副本可以提交，但证明目的应限定为版本、来源和日期矛盾。</w:t>
      </w:r>
    </w:p>
    <w:p>
      <w:pPr>
        <w:spacing w:line="360" w:lineRule="auto" w:before="80" w:after="80"/>
        <w:ind w:left="420" w:right="420"/>
      </w:pPr>
      <w:r>
        <w:rPr>
          <w:rFonts w:ascii="黑体" w:hAnsi="黑体" w:eastAsia="黑体"/>
          <w:b/>
          <w:color w:val="FF0000"/>
          <w:sz w:val="24"/>
        </w:rPr>
        <w:t>【批注】用户称另有2016年5月31日完整版本，但本轮目录未检出。取得前不得在法庭上表述为“两份完整合同已经核验”或“一真一假”。</w:t>
      </w:r>
    </w:p>
    <w:p>
      <w:pPr>
        <w:spacing w:line="360" w:lineRule="auto" w:before="0" w:after="0"/>
        <w:ind w:firstLine="629"/>
      </w:pPr>
      <w:r>
        <w:rPr>
          <w:rFonts w:ascii="仿宋_GB2312" w:hAnsi="仿宋_GB2312" w:eastAsia="仿宋_GB2312"/>
          <w:b w:val="0"/>
          <w:sz w:val="30"/>
        </w:rPr>
        <w:t>- 法律依据：《民事证据规定》第11、87、91、92条；合同编通则司法解释第14条要求同一交易存在多份合同时查明成立先后、真实意思和实际履行，不允许直接以“多份合同”替代真实性判断。[民事证据规定](https://www.court.gov.cn/zixun/xiangqing/212721.html)；[合同编通则司法解释第14条](https://www.court.gov.cn/zixun/xiangqing/419382.html)</w:t>
      </w:r>
    </w:p>
    <w:p>
      <w:pPr>
        <w:spacing w:line="360" w:lineRule="auto" w:before="0" w:after="0"/>
        <w:ind w:firstLine="629"/>
      </w:pPr>
      <w:r>
        <w:rPr>
          <w:rFonts w:ascii="仿宋_GB2312" w:hAnsi="仿宋_GB2312" w:eastAsia="仿宋_GB2312"/>
          <w:b w:val="0"/>
          <w:sz w:val="30"/>
        </w:rPr>
        <w:t>- 实际作用：可能削弱原告对基础合同成立时间、内容一致性及收费依据的证明；经原件解释为补签、重签、纠错或不同流程日期后，矛盾可能消除。</w:t>
      </w:r>
    </w:p>
    <w:p>
      <w:pPr>
        <w:spacing w:line="360" w:lineRule="auto" w:before="0" w:after="0"/>
        <w:ind w:firstLine="629"/>
      </w:pPr>
      <w:r>
        <w:rPr>
          <w:rFonts w:ascii="仿宋_GB2312" w:hAnsi="仿宋_GB2312" w:eastAsia="仿宋_GB2312"/>
          <w:b w:val="0"/>
          <w:sz w:val="30"/>
        </w:rPr>
        <w:t>- 证据缺口与对方可能反驳：需要用户所称另一完整合同、行政案证据目录及来源章；还需原告、开发商、住建部门提交两版原件、收件清单、变更/补签说明。对方可能称5月是概括记忆或合同形成时间、8月31日是补签日期；我方应要求证据而非仅作推测。</w:t>
      </w:r>
    </w:p>
    <w:p>
      <w:pPr>
        <w:spacing w:line="360" w:lineRule="auto" w:before="0" w:after="0"/>
        <w:ind w:firstLine="629"/>
      </w:pPr>
      <w:r>
        <w:rPr>
          <w:rFonts w:ascii="仿宋_GB2312" w:hAnsi="仿宋_GB2312" w:eastAsia="仿宋_GB2312"/>
          <w:b w:val="0"/>
          <w:sz w:val="30"/>
        </w:rPr>
        <w:t>- 优先级：高。能迫使对方锁定审查对象，但不宜夸大为“真假合同”。</w:t>
      </w:r>
    </w:p>
    <w:p>
      <w:pPr>
        <w:spacing w:line="360" w:lineRule="auto" w:before="40" w:after="0"/>
      </w:pPr>
      <w:r>
        <w:rPr>
          <w:rFonts w:ascii="黑体" w:hAnsi="黑体" w:eastAsia="黑体"/>
          <w:b/>
          <w:sz w:val="30"/>
        </w:rPr>
        <w:t>6. 原告尚需证明B/C区合同确实覆盖12栋503及2023—2026年全部期间</w:t>
      </w:r>
    </w:p>
    <w:p>
      <w:pPr>
        <w:spacing w:line="360" w:lineRule="auto" w:before="0" w:after="0"/>
        <w:ind w:firstLine="629"/>
      </w:pPr>
      <w:r>
        <w:rPr>
          <w:rFonts w:ascii="仿宋_GB2312" w:hAnsi="仿宋_GB2312" w:eastAsia="仿宋_GB2312"/>
          <w:b w:val="0"/>
          <w:sz w:val="30"/>
        </w:rPr>
        <w:t>- 抗辩观点：针对基础前期物业合同对本房屋和涉诉期间的覆盖，要求提交完整规划平面图、物业构成明细、物业管理区域备案及合同存续资料。</w:t>
      </w:r>
    </w:p>
    <w:p>
      <w:pPr>
        <w:spacing w:line="360" w:lineRule="auto" w:before="0" w:after="0"/>
        <w:ind w:firstLine="629"/>
      </w:pPr>
      <w:r>
        <w:rPr>
          <w:rFonts w:ascii="仿宋_GB2312" w:hAnsi="仿宋_GB2312" w:eastAsia="仿宋_GB2312"/>
          <w:b w:val="0"/>
          <w:sz w:val="30"/>
        </w:rPr>
        <w:t>- 事实和证据：P2第1页写房屋为山语城三期12栋1单元503。D2第1—2页载明B/C区项目及四至，第10页第36条约定合同持续至首届业委会与其选聘物业企业签订正式合同止；A1即27046号判决第9页却写李国平系A区业主，而A2庭审笔录第4页中物业方明确称其房产在B/C区服务范围。现有材料没有把12栋与D2附件规划图稳定勾连，也未证明2023—2026年未另行选聘物业、未终止原合同。</w:t>
      </w:r>
    </w:p>
    <w:p>
      <w:pPr>
        <w:spacing w:line="360" w:lineRule="auto" w:before="0" w:after="0"/>
        <w:ind w:firstLine="629"/>
      </w:pPr>
      <w:r>
        <w:rPr>
          <w:rFonts w:ascii="仿宋_GB2312" w:hAnsi="仿宋_GB2312" w:eastAsia="仿宋_GB2312"/>
          <w:b w:val="0"/>
          <w:sz w:val="30"/>
        </w:rPr>
        <w:t>- 法律依据：《民法典》第939、940、948、949条分别规定前期合同约束力、新合同生效导致前期合同终止、期满继续服务的续延及拒不退场时费用限制。[民法典物业服务合同章](https://www.court.gov.cn/zixun/xiangqing/233181.html)</w:t>
      </w:r>
    </w:p>
    <w:p>
      <w:pPr>
        <w:spacing w:line="360" w:lineRule="auto" w:before="0" w:after="0"/>
        <w:ind w:firstLine="629"/>
      </w:pPr>
      <w:r>
        <w:rPr>
          <w:rFonts w:ascii="仿宋_GB2312" w:hAnsi="仿宋_GB2312" w:eastAsia="仿宋_GB2312"/>
          <w:b w:val="0"/>
          <w:sz w:val="30"/>
        </w:rPr>
        <w:t>- 实际作用：可能影响全部或部分期间的请求权基础；如原告证明12栋属B/C区且持续服务、没有新合同，抗辩强度会下降。</w:t>
      </w:r>
    </w:p>
    <w:p>
      <w:pPr>
        <w:spacing w:line="360" w:lineRule="auto" w:before="0" w:after="0"/>
        <w:ind w:firstLine="629"/>
      </w:pPr>
      <w:r>
        <w:rPr>
          <w:rFonts w:ascii="仿宋_GB2312" w:hAnsi="仿宋_GB2312" w:eastAsia="仿宋_GB2312"/>
          <w:b w:val="0"/>
          <w:sz w:val="30"/>
        </w:rPr>
        <w:t>- 证据缺口与对方可能反驳：需区域总平图、预售批次、测绘成果、业主大会/业委会决定、后续合同及物业交接资料。对方会主张房号、长期服务和缴费已足以识别区域；回应是关联案件已有相互矛盾的正式记载，原告又依赖特定分区合同，理应提交附件完成对应。</w:t>
      </w:r>
    </w:p>
    <w:p>
      <w:pPr>
        <w:spacing w:line="360" w:lineRule="auto" w:before="0" w:after="0"/>
        <w:ind w:firstLine="629"/>
      </w:pPr>
      <w:r>
        <w:rPr>
          <w:rFonts w:ascii="仿宋_GB2312" w:hAnsi="仿宋_GB2312" w:eastAsia="仿宋_GB2312"/>
          <w:b w:val="0"/>
          <w:sz w:val="30"/>
        </w:rPr>
        <w:t>- 优先级：高。区域和期间都是第939条适用的前提。</w:t>
      </w:r>
    </w:p>
    <w:p>
      <w:pPr>
        <w:spacing w:line="360" w:lineRule="auto" w:before="40" w:after="0"/>
      </w:pPr>
      <w:r>
        <w:rPr>
          <w:rFonts w:ascii="黑体" w:hAnsi="黑体" w:eastAsia="黑体"/>
          <w:b/>
          <w:sz w:val="30"/>
        </w:rPr>
        <w:t>7. 2.2元费率有多份材料相互印证，但最终核定/备案和“质价相符”仍须原告证明</w:t>
      </w:r>
    </w:p>
    <w:p>
      <w:pPr>
        <w:spacing w:line="360" w:lineRule="auto" w:before="0" w:after="0"/>
        <w:ind w:firstLine="629"/>
      </w:pPr>
      <w:r>
        <w:rPr>
          <w:rFonts w:ascii="仿宋_GB2312" w:hAnsi="仿宋_GB2312" w:eastAsia="仿宋_GB2312"/>
          <w:b w:val="0"/>
          <w:sz w:val="30"/>
        </w:rPr>
        <w:t>- 抗辩观点：针对每平方米每月2.2元的费率，不能主张卷内完全没有任何依据；应更精准地主张原告尚未提交当时价格主管部门最终审核、服务等级对应、亮证公示及涉诉期间继续适用的材料。</w:t>
      </w:r>
    </w:p>
    <w:p>
      <w:pPr>
        <w:spacing w:line="360" w:lineRule="auto" w:before="80" w:after="80"/>
        <w:ind w:left="420" w:right="420"/>
      </w:pPr>
      <w:r>
        <w:rPr>
          <w:rFonts w:ascii="黑体" w:hAnsi="黑体" w:eastAsia="黑体"/>
          <w:b/>
          <w:color w:val="FF0000"/>
          <w:sz w:val="24"/>
        </w:rPr>
        <w:t>【批注】费率抗辩目前只缺最终核定/登记原件，不能忽略中标通知、基础合同和个人协议均记载2.2元，以及27046号一审已有不利认定。</w:t>
      </w:r>
    </w:p>
    <w:p>
      <w:pPr>
        <w:spacing w:line="360" w:lineRule="auto" w:before="0" w:after="0"/>
        <w:ind w:firstLine="629"/>
      </w:pPr>
      <w:r>
        <w:rPr>
          <w:rFonts w:ascii="仿宋_GB2312" w:hAnsi="仿宋_GB2312" w:eastAsia="仿宋_GB2312"/>
          <w:b w:val="0"/>
          <w:sz w:val="30"/>
        </w:rPr>
        <w:t>- 事实和证据：D4第1页中标通知、D2第3—4页基础合同、P2第7页个人协议均出现住宅2.2元；P2第7页还写“以上收费标准按物价部门最终备案价格执行”。但是本诉证据没有价格核定申请、核定/登记证或收费公示。A1第13—14页已对李国平作出不利的一审判断，认为其未证明2.2元越界；该判决已有上诉状线索但终审结果未找到，不能隐去这一不利材料。</w:t>
      </w:r>
    </w:p>
    <w:p>
      <w:pPr>
        <w:spacing w:line="360" w:lineRule="auto" w:before="0" w:after="0"/>
        <w:ind w:firstLine="629"/>
      </w:pPr>
      <w:r>
        <w:rPr>
          <w:rFonts w:ascii="仿宋_GB2312" w:hAnsi="仿宋_GB2312" w:eastAsia="仿宋_GB2312"/>
          <w:b w:val="0"/>
          <w:sz w:val="30"/>
        </w:rPr>
        <w:t>- 法律依据：2016年适用的湘价服〔2010〕76号第9、10、18、26、29条规定住宅公共性服务政府指导价、产权建筑面积、服务价格登记和质价相符；2017年后规则第7—11条承接政府指导价；2022年规则第6—9、14、22、25条规定政府指导价、产权建筑面积、公示，并明确旧合同未到期仍按原约定执行。[湖南省政府：2010年收费办法](https://www.hunan.gov.cn/xxgk/wjk/szbmwj/201006/t20100610_4884242.html)；[湖南省发改委：2017年收费办法](https://fgw.hunan.gov.cn/xxgk_70899/tzgg/201701/t20170120_3945581.html)；[湖南省发改委：2022年收费办法](https://fgw.hunan.gov.cn/fgw/xxgk_70899/c101588/c101602/202205/t20220507_24466789.html)</w:t>
      </w:r>
    </w:p>
    <w:p>
      <w:pPr>
        <w:spacing w:line="360" w:lineRule="auto" w:before="0" w:after="0"/>
        <w:ind w:firstLine="629"/>
      </w:pPr>
      <w:r>
        <w:rPr>
          <w:rFonts w:ascii="仿宋_GB2312" w:hAnsi="仿宋_GB2312" w:eastAsia="仿宋_GB2312"/>
          <w:b w:val="0"/>
          <w:sz w:val="30"/>
        </w:rPr>
        <w:t>- 实际作用：可能影响费率或要求按经核准的较低标准计算；现阶段不足以证明2.2元必然违法。</w:t>
      </w:r>
    </w:p>
    <w:p>
      <w:pPr>
        <w:spacing w:line="360" w:lineRule="auto" w:before="0" w:after="0"/>
        <w:ind w:firstLine="629"/>
      </w:pPr>
      <w:r>
        <w:rPr>
          <w:rFonts w:ascii="仿宋_GB2312" w:hAnsi="仿宋_GB2312" w:eastAsia="仿宋_GB2312"/>
          <w:b w:val="0"/>
          <w:sz w:val="30"/>
        </w:rPr>
        <w:t>- 证据缺口与对方可能反驳：向开福区价格主管部门或原告调取最终核定表、服务价格登记证、投标报价测算和公示照片。对方会援引中标价、三份合同一致及27046号一审；我方应把争点限制为“最终核定和涉诉期适用”，避免空泛主张违法。</w:t>
      </w:r>
    </w:p>
    <w:p>
      <w:pPr>
        <w:spacing w:line="360" w:lineRule="auto" w:before="0" w:after="0"/>
        <w:ind w:firstLine="629"/>
      </w:pPr>
      <w:r>
        <w:rPr>
          <w:rFonts w:ascii="仿宋_GB2312" w:hAnsi="仿宋_GB2312" w:eastAsia="仿宋_GB2312"/>
          <w:b w:val="0"/>
          <w:sz w:val="30"/>
        </w:rPr>
        <w:t>- 优先级：中高。有现实补证价值，但卷内2.2元的一致性对物业有利。</w:t>
      </w:r>
    </w:p>
    <w:p>
      <w:pPr>
        <w:spacing w:line="360" w:lineRule="auto" w:before="40" w:after="0"/>
      </w:pPr>
      <w:r>
        <w:rPr>
          <w:rFonts w:ascii="黑体" w:hAnsi="黑体" w:eastAsia="黑体"/>
          <w:b/>
          <w:sz w:val="30"/>
        </w:rPr>
        <w:t>8. 日5‰、拟制送达和律师费属于应单独审查的重大格式条款，且目前不在诉请范围</w:t>
      </w:r>
    </w:p>
    <w:p>
      <w:pPr>
        <w:spacing w:line="360" w:lineRule="auto" w:before="0" w:after="0"/>
        <w:ind w:firstLine="629"/>
      </w:pPr>
      <w:r>
        <w:rPr>
          <w:rFonts w:ascii="仿宋_GB2312" w:hAnsi="仿宋_GB2312" w:eastAsia="仿宋_GB2312"/>
          <w:b w:val="0"/>
          <w:sz w:val="30"/>
        </w:rPr>
        <w:t>- 抗辩观点：针对原告事实理由中提及的违约金及可能当庭增加的附加费用，主张日5‰、退回即送达、张贴即送达、无限额律师费等条款未被合理提示说明时不成为合同内容；不合理加重业主责任或排除主要权利的部分无效；即使有效，日5‰也应请求依法大幅调减。不得把该结论扩大为整份协议无效。</w:t>
      </w:r>
    </w:p>
    <w:p>
      <w:pPr>
        <w:spacing w:line="360" w:lineRule="auto" w:before="0" w:after="0"/>
        <w:ind w:firstLine="629"/>
      </w:pPr>
      <w:r>
        <w:rPr>
          <w:rFonts w:ascii="仿宋_GB2312" w:hAnsi="仿宋_GB2312" w:eastAsia="仿宋_GB2312"/>
          <w:b w:val="0"/>
          <w:sz w:val="30"/>
        </w:rPr>
        <w:t>- 事实和证据：P2第7页第5.2项、第11页第12.4项规定欠费日5‰，单利年化约182.5%；第4—5页约定多种拟制送达；第11页第12.5项约定律师费等。文本未见加粗、方框、单独签认或说明记录。P1第1页诉请仅有本金和诉讼费用，并未列明违约金或律师费。</w:t>
      </w:r>
    </w:p>
    <w:p>
      <w:pPr>
        <w:spacing w:line="360" w:lineRule="auto" w:before="0" w:after="0"/>
        <w:ind w:firstLine="629"/>
      </w:pPr>
      <w:r>
        <w:rPr>
          <w:rFonts w:ascii="仿宋_GB2312" w:hAnsi="仿宋_GB2312" w:eastAsia="仿宋_GB2312"/>
          <w:b w:val="0"/>
          <w:sz w:val="30"/>
        </w:rPr>
        <w:t>- 法律依据：《民法典》第496—498条；合同编通则司法解释第9、10条明确提供方对提示说明负举证责任；《民法典》第585条和合同编通则司法解释第65、66条规定过高违约金调整。[民法典第496—498、585条](https://www.court.gov.cn/zixun/xiangqing/233181.html)；[合同编通则司法解释第9、10、65、66条](https://www.court.gov.cn/zixun/xiangqing/419382.html)</w:t>
      </w:r>
    </w:p>
    <w:p>
      <w:pPr>
        <w:spacing w:line="360" w:lineRule="auto" w:before="0" w:after="0"/>
        <w:ind w:firstLine="629"/>
      </w:pPr>
      <w:r>
        <w:rPr>
          <w:rFonts w:ascii="仿宋_GB2312" w:hAnsi="仿宋_GB2312" w:eastAsia="仿宋_GB2312"/>
          <w:b w:val="0"/>
          <w:sz w:val="30"/>
        </w:rPr>
        <w:t>- 实际作用：现阶段主要用于锁定审理范围和排除附加请求，不直接减少已经列明的本金；若原告增加请求，可显著压缩违约金、律师费及送达推定。</w:t>
      </w:r>
    </w:p>
    <w:p>
      <w:pPr>
        <w:spacing w:line="360" w:lineRule="auto" w:before="0" w:after="0"/>
        <w:ind w:firstLine="629"/>
      </w:pPr>
      <w:r>
        <w:rPr>
          <w:rFonts w:ascii="仿宋_GB2312" w:hAnsi="仿宋_GB2312" w:eastAsia="仿宋_GB2312"/>
          <w:b w:val="0"/>
          <w:sz w:val="30"/>
        </w:rPr>
        <w:t>- 证据缺口与对方可能反驳：要求物业提交签约流程、提示标识、录音录像、单独说明书。对方可能以律师朋友在场、签字确认抗辩；回应是同行者职业身份不等于物业已向李国平本人完成提示说明，仍须结合签署人、授权范围和条款展示方式判断。</w:t>
      </w:r>
    </w:p>
    <w:p>
      <w:pPr>
        <w:spacing w:line="360" w:lineRule="auto" w:before="0" w:after="0"/>
        <w:ind w:firstLine="629"/>
      </w:pPr>
      <w:r>
        <w:rPr>
          <w:rFonts w:ascii="仿宋_GB2312" w:hAnsi="仿宋_GB2312" w:eastAsia="仿宋_GB2312"/>
          <w:b w:val="0"/>
          <w:sz w:val="30"/>
        </w:rPr>
        <w:t>- 优先级：高。日5‰极端且起诉状已提及，必须当庭保留异议。</w:t>
      </w:r>
    </w:p>
    <w:p>
      <w:pPr>
        <w:spacing w:line="360" w:lineRule="auto" w:before="40" w:after="0"/>
      </w:pPr>
      <w:r>
        <w:rPr>
          <w:rFonts w:ascii="黑体" w:hAnsi="黑体" w:eastAsia="黑体"/>
          <w:b/>
          <w:sz w:val="30"/>
        </w:rPr>
        <w:t>9. 现有催告证据不足的直接后果应限定为起诉条件、附加责任和时效审查，不宜夸大为本金当然消灭</w:t>
      </w:r>
    </w:p>
    <w:p>
      <w:pPr>
        <w:spacing w:line="360" w:lineRule="auto" w:before="0" w:after="0"/>
        <w:ind w:firstLine="629"/>
      </w:pPr>
      <w:r>
        <w:rPr>
          <w:rFonts w:ascii="仿宋_GB2312" w:hAnsi="仿宋_GB2312" w:eastAsia="仿宋_GB2312"/>
          <w:b w:val="0"/>
          <w:sz w:val="30"/>
        </w:rPr>
        <w:t>- 抗辩观点：针对原告“多次催讨”的陈述，要求证明催告内容、对象、送达和合理期限。P3不能证明向李国平本人到达，个人协议的“退回/张贴视为送达”格式条款也不能免除其举证。</w:t>
      </w:r>
    </w:p>
    <w:p>
      <w:pPr>
        <w:spacing w:line="360" w:lineRule="auto" w:before="0" w:after="0"/>
        <w:ind w:firstLine="629"/>
      </w:pPr>
      <w:r>
        <w:rPr>
          <w:rFonts w:ascii="仿宋_GB2312" w:hAnsi="仿宋_GB2312" w:eastAsia="仿宋_GB2312"/>
          <w:b w:val="0"/>
          <w:sz w:val="30"/>
        </w:rPr>
        <w:t>- 事实和证据：P1第1页仅称多次催讨；P3第13页对象身份不明且使用女性称谓；未见邮寄底单、物流轨迹、短信平台回执、上门记录或完整聊天。</w:t>
      </w:r>
    </w:p>
    <w:p>
      <w:pPr>
        <w:spacing w:line="360" w:lineRule="auto" w:before="0" w:after="0"/>
        <w:ind w:firstLine="629"/>
      </w:pPr>
      <w:r>
        <w:rPr>
          <w:rFonts w:ascii="仿宋_GB2312" w:hAnsi="仿宋_GB2312" w:eastAsia="仿宋_GB2312"/>
          <w:b w:val="0"/>
          <w:sz w:val="30"/>
        </w:rPr>
        <w:t>- 法律依据：《民法典》第944条第二款规定逾期不付时，物业服务人可以催告合理期限，期限届满仍不支付方可诉讼或仲裁；第137条规定非对话意思表示到达生效。[民法典第137、944条](https://www.court.gov.cn/zixun/xiangqing/233181.html)</w:t>
      </w:r>
    </w:p>
    <w:p>
      <w:pPr>
        <w:spacing w:line="360" w:lineRule="auto" w:before="0" w:after="0"/>
        <w:ind w:firstLine="629"/>
      </w:pPr>
      <w:r>
        <w:rPr>
          <w:rFonts w:ascii="仿宋_GB2312" w:hAnsi="仿宋_GB2312" w:eastAsia="仿宋_GB2312"/>
          <w:b w:val="0"/>
          <w:sz w:val="30"/>
        </w:rPr>
        <w:t>- 实际作用：支持对起诉时点、合理期限、违约金起算和诉讼成本的抗辩；法院也可能认为起诉状送达本身已使业主获知请求，因此不能保证驳回本金。</w:t>
      </w:r>
    </w:p>
    <w:p>
      <w:pPr>
        <w:spacing w:line="360" w:lineRule="auto" w:before="0" w:after="0"/>
        <w:ind w:firstLine="629"/>
      </w:pPr>
      <w:r>
        <w:rPr>
          <w:rFonts w:ascii="仿宋_GB2312" w:hAnsi="仿宋_GB2312" w:eastAsia="仿宋_GB2312"/>
          <w:b w:val="0"/>
          <w:sz w:val="30"/>
        </w:rPr>
        <w:t>- 证据缺口与对方可能反驳：需核对所有催收载体和送达地址。对方可能主张《民法典》第944条使用“可以”而非“应当”，或诉讼送达已构成催告；我方应坚持具体审查，不把未催告表述为债权消灭。</w:t>
      </w:r>
    </w:p>
    <w:p>
      <w:pPr>
        <w:spacing w:line="360" w:lineRule="auto" w:before="0" w:after="0"/>
        <w:ind w:firstLine="629"/>
      </w:pPr>
      <w:r>
        <w:rPr>
          <w:rFonts w:ascii="仿宋_GB2312" w:hAnsi="仿宋_GB2312" w:eastAsia="仿宋_GB2312"/>
          <w:b w:val="0"/>
          <w:sz w:val="30"/>
        </w:rPr>
        <w:t>- 优先级：中高。对附加责任和时效重要，对本金的独立杀伤力有限。</w:t>
      </w:r>
    </w:p>
    <w:p>
      <w:pPr>
        <w:spacing w:line="360" w:lineRule="auto" w:before="40" w:after="0"/>
      </w:pPr>
      <w:r>
        <w:rPr>
          <w:rFonts w:ascii="黑体" w:hAnsi="黑体" w:eastAsia="黑体"/>
          <w:b/>
          <w:sz w:val="30"/>
        </w:rPr>
        <w:t>10. 关联裁判只能按其裁判对象使用，不能替代本案债权证明</w:t>
      </w:r>
    </w:p>
    <w:p>
      <w:pPr>
        <w:spacing w:line="360" w:lineRule="auto" w:before="0" w:after="0"/>
        <w:ind w:firstLine="629"/>
      </w:pPr>
      <w:r>
        <w:rPr>
          <w:rFonts w:ascii="仿宋_GB2312" w:hAnsi="仿宋_GB2312" w:eastAsia="仿宋_GB2312"/>
          <w:b w:val="0"/>
          <w:sz w:val="30"/>
        </w:rPr>
        <w:t>- 抗辩观点：针对原告可能援引27046号、374号或行政复议材料证明“合同已被确认有效、招投标合法”，应分别指出审查对象、生效状态和证明边界。</w:t>
      </w:r>
    </w:p>
    <w:p>
      <w:pPr>
        <w:spacing w:line="360" w:lineRule="auto" w:before="0" w:after="0"/>
        <w:ind w:firstLine="629"/>
      </w:pPr>
      <w:r>
        <w:rPr>
          <w:rFonts w:ascii="仿宋_GB2312" w:hAnsi="仿宋_GB2312" w:eastAsia="仿宋_GB2312"/>
          <w:b w:val="0"/>
          <w:sz w:val="30"/>
        </w:rPr>
        <w:t>- 事实和证据：A1第12—15页的一审判决驳回前期合同无效请求，对我方不利，但目前只找到上诉状，未找到二审终审文书；A4第10—14页主要审查2025年补备案、行政答复及总分公司安排，不是物业费给付判决；A5、A6主要涉及行政复议申请人资格和行政起诉条件，不是对招投标实体合法性的终局确认。A4第11页还查明2018年总公司和分公司同步更名，削弱“现原告与旧签约主体完全不同”的说法。</w:t>
      </w:r>
    </w:p>
    <w:p>
      <w:pPr>
        <w:spacing w:line="360" w:lineRule="auto" w:before="0" w:after="0"/>
        <w:ind w:firstLine="629"/>
      </w:pPr>
      <w:r>
        <w:rPr>
          <w:rFonts w:ascii="仿宋_GB2312" w:hAnsi="仿宋_GB2312" w:eastAsia="仿宋_GB2312"/>
          <w:b w:val="0"/>
          <w:sz w:val="30"/>
        </w:rPr>
        <w:t>- 法律依据：《民事诉讼法解释》第93条关于免证事实及相反证据；《民事诉讼法》第155、158条关于判决内容和生效裁判。[民事诉讼法解释全文](https://wb.flk.npc.gov.cn/sfjs/texthtml/0d431c40e88f4a9fac8c4d1dbbefa934.html)；[现行民事诉讼法全文](https://www.gzhzcourt.gov.cn/upload/editor/file/2025/08/04/6388989731436328121054632.pdf)</w:t>
      </w:r>
    </w:p>
    <w:p>
      <w:pPr>
        <w:spacing w:line="360" w:lineRule="auto" w:before="0" w:after="0"/>
        <w:ind w:firstLine="629"/>
      </w:pPr>
      <w:r>
        <w:rPr>
          <w:rFonts w:ascii="仿宋_GB2312" w:hAnsi="仿宋_GB2312" w:eastAsia="仿宋_GB2312"/>
          <w:b w:val="0"/>
          <w:sz w:val="30"/>
        </w:rPr>
        <w:t>- 实际作用：防止对方用关联裁判跳过本案面积、账目、催告、服务和签署归属审查；不等于法院必须忽略关联裁判的事实认定和说理。</w:t>
      </w:r>
    </w:p>
    <w:p>
      <w:pPr>
        <w:spacing w:line="360" w:lineRule="auto" w:before="0" w:after="0"/>
        <w:ind w:firstLine="629"/>
      </w:pPr>
      <w:r>
        <w:rPr>
          <w:rFonts w:ascii="仿宋_GB2312" w:hAnsi="仿宋_GB2312" w:eastAsia="仿宋_GB2312"/>
          <w:b w:val="0"/>
          <w:sz w:val="30"/>
        </w:rPr>
        <w:t>- 证据缺口与对方可能反驳：必须取得27046号二审案号、受理通知和最新裁判；核查374号是否上诉、生效。若已有生效裁判，应按其既判范围重写本项，不能继续声称“未生效”。</w:t>
      </w:r>
    </w:p>
    <w:p>
      <w:pPr>
        <w:spacing w:line="360" w:lineRule="auto" w:before="0" w:after="0"/>
        <w:ind w:firstLine="629"/>
      </w:pPr>
      <w:r>
        <w:rPr>
          <w:rFonts w:ascii="仿宋_GB2312" w:hAnsi="仿宋_GB2312" w:eastAsia="仿宋_GB2312"/>
          <w:b w:val="0"/>
          <w:sz w:val="30"/>
        </w:rPr>
        <w:t>- 优先级：高。既要利用审查边界，也要主动披露不利一审结果，避免失信。</w:t>
      </w:r>
    </w:p>
    <w:p>
      <w:pPr>
        <w:spacing w:line="360" w:lineRule="auto" w:before="40" w:after="0"/>
      </w:pPr>
      <w:r>
        <w:rPr>
          <w:rFonts w:ascii="黑体" w:hAnsi="黑体" w:eastAsia="黑体"/>
          <w:b/>
          <w:sz w:val="30"/>
        </w:rPr>
        <w:t>三、补证后可以提出</w:t>
      </w:r>
    </w:p>
    <w:p>
      <w:pPr>
        <w:spacing w:line="360" w:lineRule="auto" w:before="40" w:after="0"/>
      </w:pPr>
      <w:r>
        <w:rPr>
          <w:rFonts w:ascii="黑体" w:hAnsi="黑体" w:eastAsia="黑体"/>
          <w:b/>
          <w:sz w:val="30"/>
        </w:rPr>
        <w:t>11. 天台铺板破裂若能证明长期存在且物业未巡查、维修、警示，可请求按履行瑕疵核减相应期间费用</w:t>
      </w:r>
    </w:p>
    <w:p>
      <w:pPr>
        <w:spacing w:line="360" w:lineRule="auto" w:before="0" w:after="0"/>
        <w:ind w:firstLine="629"/>
      </w:pPr>
      <w:r>
        <w:rPr>
          <w:rFonts w:ascii="仿宋_GB2312" w:hAnsi="仿宋_GB2312" w:eastAsia="仿宋_GB2312"/>
          <w:b w:val="0"/>
          <w:sz w:val="30"/>
        </w:rPr>
        <w:t>- 抗辩观点：作为本金的备位抗辩，主张物业对共用天台铺装/架空铺板的巡查、维护、警示和隔离存在具体、持续的履行瑕疵，请法院结合持续时间、危险程度、影响范围及整改情况酌定相应期间合理物业费；如存在可证明的人身损害，可另行主张损害赔偿，但不能在本案中无金额、无医疗证据地直接抵销。</w:t>
      </w:r>
    </w:p>
    <w:p>
      <w:pPr>
        <w:spacing w:line="360" w:lineRule="auto" w:before="0" w:after="0"/>
        <w:ind w:firstLine="629"/>
      </w:pPr>
      <w:r>
        <w:rPr>
          <w:rFonts w:ascii="仿宋_GB2312" w:hAnsi="仿宋_GB2312" w:eastAsia="仿宋_GB2312"/>
          <w:b w:val="0"/>
          <w:sz w:val="30"/>
        </w:rPr>
        <w:t>- 事实和证据：D2第15页附件三把“住宅房屋屋面、外墙面、共用天台”列为共用部位；第17页附件五约定每季度检查室外屋面并按责任范围维修养护、做好记录；第21页约定有天台的每周巡查2次。李国平陈述天台地砖/架空铺板曾破裂、本人及其他业主踩空受伤，并非承重楼板坍塌。当前目录未检出相关群聊、照片、医疗记录、物业回复或警示/维修记录，因此事故事实尚未核实。</w:t>
      </w:r>
    </w:p>
    <w:p>
      <w:pPr>
        <w:spacing w:line="360" w:lineRule="auto" w:before="80" w:after="80"/>
        <w:ind w:left="420" w:right="420"/>
      </w:pPr>
      <w:r>
        <w:rPr>
          <w:rFonts w:ascii="黑体" w:hAnsi="黑体" w:eastAsia="黑体"/>
          <w:b/>
          <w:color w:val="FF0000"/>
          <w:sz w:val="24"/>
        </w:rPr>
        <w:t>【批注】天台事故目前只有当事人陈述，目录内未检出原始群聊、照片、物业回复或医疗材料。未补证前仅用于申请提交巡查维修记录，不宜直接请求确定减费比例。</w:t>
      </w:r>
    </w:p>
    <w:p>
      <w:pPr>
        <w:spacing w:line="360" w:lineRule="auto" w:before="0" w:after="0"/>
        <w:ind w:firstLine="629"/>
      </w:pPr>
      <w:r>
        <w:rPr>
          <w:rFonts w:ascii="仿宋_GB2312" w:hAnsi="仿宋_GB2312" w:eastAsia="仿宋_GB2312"/>
          <w:b w:val="0"/>
          <w:sz w:val="30"/>
        </w:rPr>
        <w:t>- 法律依据：《民法典》第942条要求妥善维修养护共有部分并采取合理措施保护人身财产安全，第944条以物业按约及按规定提供服务为收费前提；2010年湖南收费办法第29条及2022年办法第6、22条强调质价相符和履约公示。[民法典第942、944条](https://www.court.gov.cn/zixun/xiangqing/233181.html)；[2010年湖南收费办法](https://www.hunan.gov.cn/xxgk/wjk/szbmwj/201006/t20100610_4884242.html)；[2022年湖南收费办法](https://fgw.hunan.gov.cn/fgw/xxgk_70899/c101588/c101602/202205/t20220507_24466789.html)</w:t>
      </w:r>
    </w:p>
    <w:p>
      <w:pPr>
        <w:spacing w:line="360" w:lineRule="auto" w:before="0" w:after="0"/>
        <w:ind w:firstLine="629"/>
      </w:pPr>
      <w:r>
        <w:rPr>
          <w:rFonts w:ascii="仿宋_GB2312" w:hAnsi="仿宋_GB2312" w:eastAsia="仿宋_GB2312"/>
          <w:b w:val="0"/>
          <w:sz w:val="30"/>
        </w:rPr>
        <w:t>- 实际作用：补证充分时影响事故存在及长期未整改所对应期间的部分本金，也可能形成独立损害赔偿请求；不会当然免除42个月全部物业费。最高法院发布的示范文本应用案例也提示，应以漏水照片、报修截图等具体证据而非口头不满证明服务不到位；该案例为调解案例，没有统一减费比例。[最高人民法院：物业纠纷示范文本应用案例](https://www.court.gov.cn/zixun/xiangqing/464101.html)</w:t>
      </w:r>
    </w:p>
    <w:p>
      <w:pPr>
        <w:spacing w:line="360" w:lineRule="auto" w:before="0" w:after="0"/>
        <w:ind w:firstLine="629"/>
      </w:pPr>
      <w:r>
        <w:rPr>
          <w:rFonts w:ascii="仿宋_GB2312" w:hAnsi="仿宋_GB2312" w:eastAsia="仿宋_GB2312"/>
          <w:b w:val="0"/>
          <w:sz w:val="30"/>
        </w:rPr>
        <w:t>- 证据缺口与对方可能反驳：立即保全原始群聊、群成员列表、物业人员身份和回复，拍摄全景/中景/特写及时间地点，取得受伤者证言、病历票据，核查天台是否开放通行、设施所有/施工主体、首次发现时间、物业是否知道及维修/围挡时间。对方会主张开发商质量责任、业主擅自上天台、未接报、已经警示或及时维修；我方应以合同明确巡检义务回应，但仍须证明缺陷在物业管理范围和合理巡检可发现。</w:t>
      </w:r>
    </w:p>
    <w:p>
      <w:pPr>
        <w:spacing w:line="360" w:lineRule="auto" w:before="0" w:after="0"/>
        <w:ind w:firstLine="629"/>
      </w:pPr>
      <w:r>
        <w:rPr>
          <w:rFonts w:ascii="仿宋_GB2312" w:hAnsi="仿宋_GB2312" w:eastAsia="仿宋_GB2312"/>
          <w:b w:val="0"/>
          <w:sz w:val="30"/>
        </w:rPr>
        <w:t>- 优先级：补证后高。这是最可能形成实质减费的服务质量事实，但目前证据为零散陈述。</w:t>
      </w:r>
    </w:p>
    <w:p>
      <w:pPr>
        <w:spacing w:line="360" w:lineRule="auto" w:before="40" w:after="0"/>
      </w:pPr>
      <w:r>
        <w:rPr>
          <w:rFonts w:ascii="黑体" w:hAnsi="黑体" w:eastAsia="黑体"/>
          <w:b/>
          <w:sz w:val="30"/>
        </w:rPr>
        <w:t>12. 对最早费用保留诉讼时效抗辩，但必须取得立案日、各期到期日和完整中断证据后计算</w:t>
      </w:r>
    </w:p>
    <w:p>
      <w:pPr>
        <w:spacing w:line="360" w:lineRule="auto" w:before="0" w:after="0"/>
        <w:ind w:firstLine="629"/>
      </w:pPr>
      <w:r>
        <w:rPr>
          <w:rFonts w:ascii="仿宋_GB2312" w:hAnsi="仿宋_GB2312" w:eastAsia="仿宋_GB2312"/>
          <w:b w:val="0"/>
          <w:sz w:val="30"/>
        </w:rPr>
        <w:t>- 抗辩观点：针对2023年初开始的费用，明确提出诉讼时效抗辩并要求原告逐期说明到期日、催收、付款、承诺及立案日期；不要预先断言全部或某一期必然过时效。</w:t>
      </w:r>
    </w:p>
    <w:p>
      <w:pPr>
        <w:spacing w:line="360" w:lineRule="auto" w:before="0" w:after="0"/>
        <w:ind w:firstLine="629"/>
      </w:pPr>
      <w:r>
        <w:rPr>
          <w:rFonts w:ascii="仿宋_GB2312" w:hAnsi="仿宋_GB2312" w:eastAsia="仿宋_GB2312"/>
          <w:b w:val="0"/>
          <w:sz w:val="30"/>
        </w:rPr>
        <w:t>- 事实和证据：P2第7页约定首次12个月预交、以后按半年度缴纳；P1主张2023年1月1日至2026年6月30日。P3第13页有2023年3月31日聊天，但接收人不明。本诉起诉/立案日期未检出。若各半年债务被认定为独立定期债务，早期部分可能超过三年；若被认定为“同一债务分期履行”，《民法典》第189条可能导致自最后一期届满起算。</w:t>
      </w:r>
    </w:p>
    <w:p>
      <w:pPr>
        <w:spacing w:line="360" w:lineRule="auto" w:before="80" w:after="80"/>
        <w:ind w:left="420" w:right="420"/>
      </w:pPr>
      <w:r>
        <w:rPr>
          <w:rFonts w:ascii="黑体" w:hAnsi="黑体" w:eastAsia="黑体"/>
          <w:b/>
          <w:color w:val="FF0000"/>
          <w:sz w:val="24"/>
        </w:rPr>
        <w:t>【批注】诉讼时效存在第189条“同一债务分期履行”的定性风险。取得立案日和完整催收后再逐期测算，庭审必须明确提出但不得断言全部过时效。</w:t>
      </w:r>
    </w:p>
    <w:p>
      <w:pPr>
        <w:spacing w:line="360" w:lineRule="auto" w:before="0" w:after="0"/>
        <w:ind w:firstLine="629"/>
      </w:pPr>
      <w:r>
        <w:rPr>
          <w:rFonts w:ascii="仿宋_GB2312" w:hAnsi="仿宋_GB2312" w:eastAsia="仿宋_GB2312"/>
          <w:b w:val="0"/>
          <w:sz w:val="30"/>
        </w:rPr>
        <w:t>- 法律依据：《民法典》第188条一般时效三年，第189条同一债务分期履行自最后一期届满起算，第192、193条规定须由义务人提出且法院不得主动适用，第195条规定中断事由。[民法典第188、189、192、193、195条](https://www.court.gov.cn/zixun/xiangqing/233181.html)</w:t>
      </w:r>
    </w:p>
    <w:p>
      <w:pPr>
        <w:spacing w:line="360" w:lineRule="auto" w:before="0" w:after="0"/>
        <w:ind w:firstLine="629"/>
      </w:pPr>
      <w:r>
        <w:rPr>
          <w:rFonts w:ascii="仿宋_GB2312" w:hAnsi="仿宋_GB2312" w:eastAsia="仿宋_GB2312"/>
          <w:b w:val="0"/>
          <w:sz w:val="30"/>
        </w:rPr>
        <w:t>- 实际作用：可能排除最早若干期本金及其附随责任；如果第189条适用或存在有效持续催收、承诺/付款，可能完全不能减免。</w:t>
      </w:r>
    </w:p>
    <w:p>
      <w:pPr>
        <w:spacing w:line="360" w:lineRule="auto" w:before="0" w:after="0"/>
        <w:ind w:firstLine="629"/>
      </w:pPr>
      <w:r>
        <w:rPr>
          <w:rFonts w:ascii="仿宋_GB2312" w:hAnsi="仿宋_GB2312" w:eastAsia="仿宋_GB2312"/>
          <w:b w:val="0"/>
          <w:sz w:val="30"/>
        </w:rPr>
        <w:t>- 证据缺口与对方可能反驳：取得法院立案日期、每半年缴费通知、催收全链、所有付款和承诺。对方会主张连续物业费是同一债务分期履行，或一次部分付款/承认中断全部债权；我方应要求其说明中断发生时已届期债权范围，并由法院先定性债务结构。</w:t>
      </w:r>
    </w:p>
    <w:p>
      <w:pPr>
        <w:spacing w:line="360" w:lineRule="auto" w:before="0" w:after="0"/>
        <w:ind w:firstLine="629"/>
      </w:pPr>
      <w:r>
        <w:rPr>
          <w:rFonts w:ascii="仿宋_GB2312" w:hAnsi="仿宋_GB2312" w:eastAsia="仿宋_GB2312"/>
          <w:b w:val="0"/>
          <w:sz w:val="30"/>
        </w:rPr>
        <w:t>- 优先级：补证后高。必须在一审提出，但现阶段无法算出具体金额。</w:t>
      </w:r>
    </w:p>
    <w:p>
      <w:pPr>
        <w:spacing w:line="360" w:lineRule="auto" w:before="40" w:after="0"/>
      </w:pPr>
      <w:r>
        <w:rPr>
          <w:rFonts w:ascii="黑体" w:hAnsi="黑体" w:eastAsia="黑体"/>
          <w:b/>
          <w:sz w:val="30"/>
        </w:rPr>
        <w:t>13. 补足现场证据后，可把“本人明确拒签”用于否定授权外观和物业善意，而非仅作情绪化背景</w:t>
      </w:r>
    </w:p>
    <w:p>
      <w:pPr>
        <w:spacing w:line="360" w:lineRule="auto" w:before="0" w:after="0"/>
        <w:ind w:firstLine="629"/>
      </w:pPr>
      <w:r>
        <w:rPr>
          <w:rFonts w:ascii="仿宋_GB2312" w:hAnsi="仿宋_GB2312" w:eastAsia="仿宋_GB2312"/>
          <w:b w:val="0"/>
          <w:sz w:val="30"/>
        </w:rPr>
        <w:t>- 抗辩观点：若能证明物业经办人当场听见李国平明确拒签、随后仍让朋友代写李国平姓名，则可主张物业明知或应知朋友无代理权，不符合表见代理的“善意无过失”，且不能以朋友是律师推定有权代理。</w:t>
      </w:r>
    </w:p>
    <w:p>
      <w:pPr>
        <w:spacing w:line="360" w:lineRule="auto" w:before="0" w:after="0"/>
        <w:ind w:firstLine="629"/>
      </w:pPr>
      <w:r>
        <w:rPr>
          <w:rFonts w:ascii="仿宋_GB2312" w:hAnsi="仿宋_GB2312" w:eastAsia="仿宋_GB2312"/>
          <w:b w:val="0"/>
          <w:sz w:val="30"/>
        </w:rPr>
        <w:t>- 事实和证据：目前只有李国平陈述：收房时索要招投标/合同资料发生争执，本人拒签，物业称不签不能收房，随后朋友代签。尚无证人、录音、现场经办人、交房表或投诉材料。</w:t>
      </w:r>
    </w:p>
    <w:p>
      <w:pPr>
        <w:spacing w:line="360" w:lineRule="auto" w:before="0" w:after="0"/>
        <w:ind w:firstLine="629"/>
      </w:pPr>
      <w:r>
        <w:rPr>
          <w:rFonts w:ascii="仿宋_GB2312" w:hAnsi="仿宋_GB2312" w:eastAsia="仿宋_GB2312"/>
          <w:b w:val="0"/>
          <w:sz w:val="30"/>
        </w:rPr>
        <w:t>- 法律依据：《民法典》第171、172条；总则编司法解释第28条。相对人须证明代理权外观，被代理人可证明相对人非善意或有过失。[民法典](https://www.court.gov.cn/zixun/xiangqing/233181.html)；[总则编司法解释第28条](https://ipc.court.gov.cn/zh-cn/news/view-1792.html)</w:t>
      </w:r>
    </w:p>
    <w:p>
      <w:pPr>
        <w:spacing w:line="360" w:lineRule="auto" w:before="0" w:after="0"/>
        <w:ind w:firstLine="629"/>
      </w:pPr>
      <w:r>
        <w:rPr>
          <w:rFonts w:ascii="仿宋_GB2312" w:hAnsi="仿宋_GB2312" w:eastAsia="仿宋_GB2312"/>
          <w:b w:val="0"/>
          <w:sz w:val="30"/>
        </w:rPr>
        <w:t>- 实际作用：主要影响个人协议是否对李国平发生效力，也可削弱“签字即已提示说明”的说法；不当然推翻基础前期合同。</w:t>
      </w:r>
    </w:p>
    <w:p>
      <w:pPr>
        <w:spacing w:line="360" w:lineRule="auto" w:before="0" w:after="0"/>
        <w:ind w:firstLine="629"/>
      </w:pPr>
      <w:r>
        <w:rPr>
          <w:rFonts w:ascii="仿宋_GB2312" w:hAnsi="仿宋_GB2312" w:eastAsia="仿宋_GB2312"/>
          <w:b w:val="0"/>
          <w:sz w:val="30"/>
        </w:rPr>
        <w:t>- 证据缺口与对方可能反驳：由律师朋友作书面证言并申请出庭；调交房区监控、当日签到、经办人、投诉和聊天。对方会主张李国平最终同意朋友代签或在场沉默；证人必须具体说明“谁说了什么、朋友签谁的姓名、李国平是否阻止或默许”。</w:t>
      </w:r>
    </w:p>
    <w:p>
      <w:pPr>
        <w:spacing w:line="360" w:lineRule="auto" w:before="0" w:after="0"/>
        <w:ind w:firstLine="629"/>
      </w:pPr>
      <w:r>
        <w:rPr>
          <w:rFonts w:ascii="仿宋_GB2312" w:hAnsi="仿宋_GB2312" w:eastAsia="仿宋_GB2312"/>
          <w:b w:val="0"/>
          <w:sz w:val="30"/>
        </w:rPr>
        <w:t>- 优先级：补证后高。有可能改变个人协议归属判断。</w:t>
      </w:r>
    </w:p>
    <w:p>
      <w:pPr>
        <w:spacing w:line="360" w:lineRule="auto" w:before="40" w:after="0"/>
      </w:pPr>
      <w:r>
        <w:rPr>
          <w:rFonts w:ascii="黑体" w:hAnsi="黑体" w:eastAsia="黑体"/>
          <w:b/>
          <w:sz w:val="30"/>
        </w:rPr>
        <w:t>14. 2016年收费申请价、核定价若确有差异，可主张按最终有效核定标准而非合同孤立数字收费</w:t>
      </w:r>
    </w:p>
    <w:p>
      <w:pPr>
        <w:spacing w:line="360" w:lineRule="auto" w:before="0" w:after="0"/>
        <w:ind w:firstLine="629"/>
      </w:pPr>
      <w:r>
        <w:rPr>
          <w:rFonts w:ascii="仿宋_GB2312" w:hAnsi="仿宋_GB2312" w:eastAsia="仿宋_GB2312"/>
          <w:b w:val="0"/>
          <w:sz w:val="30"/>
        </w:rPr>
        <w:t>- 抗辩观点：若原件证实开发商申请价为2.07元而价格机关核定/备案内容与2.2元不一致，应要求按对业主有效且依法公示的最终标准结算，并排除超额部分。</w:t>
      </w:r>
    </w:p>
    <w:p>
      <w:pPr>
        <w:spacing w:line="360" w:lineRule="auto" w:before="0" w:after="0"/>
        <w:ind w:firstLine="629"/>
      </w:pPr>
      <w:r>
        <w:rPr>
          <w:rFonts w:ascii="仿宋_GB2312" w:hAnsi="仿宋_GB2312" w:eastAsia="仿宋_GB2312"/>
          <w:b w:val="0"/>
          <w:sz w:val="30"/>
        </w:rPr>
        <w:t>- 事实和证据：历史诉状和代理稿提到2016年4月1日申请、4月8日核定、申请价2.07元/㎡，但本轮未找到申请表、批复及附件原件；因此不能作为已证事实。D2、D4、P2三处目前均显示2.2元，这是明显的对方反证。</w:t>
      </w:r>
    </w:p>
    <w:p>
      <w:pPr>
        <w:spacing w:line="360" w:lineRule="auto" w:before="80" w:after="80"/>
        <w:ind w:left="420" w:right="420"/>
      </w:pPr>
      <w:r>
        <w:rPr>
          <w:rFonts w:ascii="黑体" w:hAnsi="黑体" w:eastAsia="黑体"/>
          <w:b/>
          <w:color w:val="FF0000"/>
          <w:sz w:val="24"/>
        </w:rPr>
        <w:t>【批注】该日期与2.07元申请价来自历史诉状/代理稿线索，本轮未找到收费申请和核定原件。没有原件不得当作已证事实。</w:t>
      </w:r>
    </w:p>
    <w:p>
      <w:pPr>
        <w:spacing w:line="360" w:lineRule="auto" w:before="0" w:after="0"/>
        <w:ind w:firstLine="629"/>
      </w:pPr>
      <w:r>
        <w:rPr>
          <w:rFonts w:ascii="仿宋_GB2312" w:hAnsi="仿宋_GB2312" w:eastAsia="仿宋_GB2312"/>
          <w:b w:val="0"/>
          <w:sz w:val="30"/>
        </w:rPr>
        <w:t>- 法律依据：2010年湖南收费办法第9、10、26—29条；P2第7页自身也约定按价格部门最终备案价格执行。[湖南省政府：2010年收费办法](https://www.hunan.gov.cn/xxgk/wjk/szbmwj/201006/t20100610_4884242.html)</w:t>
      </w:r>
    </w:p>
    <w:p>
      <w:pPr>
        <w:spacing w:line="360" w:lineRule="auto" w:before="0" w:after="0"/>
        <w:ind w:firstLine="629"/>
      </w:pPr>
      <w:r>
        <w:rPr>
          <w:rFonts w:ascii="仿宋_GB2312" w:hAnsi="仿宋_GB2312" w:eastAsia="仿宋_GB2312"/>
          <w:b w:val="0"/>
          <w:sz w:val="30"/>
        </w:rPr>
        <w:t>- 实际作用：若2.07元成立，可能影响全部42个月的费率差额；若批复确为2.2元，本项反而补强原告。</w:t>
      </w:r>
    </w:p>
    <w:p>
      <w:pPr>
        <w:spacing w:line="360" w:lineRule="auto" w:before="0" w:after="0"/>
        <w:ind w:firstLine="629"/>
      </w:pPr>
      <w:r>
        <w:rPr>
          <w:rFonts w:ascii="仿宋_GB2312" w:hAnsi="仿宋_GB2312" w:eastAsia="仿宋_GB2312"/>
          <w:b w:val="0"/>
          <w:sz w:val="30"/>
        </w:rPr>
        <w:t>- 证据缺口与对方可能反驳：向长沙市/开福区价格主管部门调取申请、成本测算、批复、登记证、送达及变更档案；不要只提交历史代理词。对方会主张2.2元即最终中标和核定价，须以原件核对。</w:t>
      </w:r>
    </w:p>
    <w:p>
      <w:pPr>
        <w:spacing w:line="360" w:lineRule="auto" w:before="0" w:after="0"/>
        <w:ind w:firstLine="629"/>
      </w:pPr>
      <w:r>
        <w:rPr>
          <w:rFonts w:ascii="仿宋_GB2312" w:hAnsi="仿宋_GB2312" w:eastAsia="仿宋_GB2312"/>
          <w:b w:val="0"/>
          <w:sz w:val="30"/>
        </w:rPr>
        <w:t>- 优先级：补证后中高。金额影响直接，但当前只有线索。</w:t>
      </w:r>
    </w:p>
    <w:p>
      <w:pPr>
        <w:spacing w:line="360" w:lineRule="auto" w:before="40" w:after="0"/>
      </w:pPr>
      <w:r>
        <w:rPr>
          <w:rFonts w:ascii="黑体" w:hAnsi="黑体" w:eastAsia="黑体"/>
          <w:b/>
          <w:sz w:val="30"/>
        </w:rPr>
        <w:t>15. 查清2021—2022年付款人、减免和核销规则后，可主张已付、优惠或重复计算应从本金扣除</w:t>
      </w:r>
    </w:p>
    <w:p>
      <w:pPr>
        <w:spacing w:line="360" w:lineRule="auto" w:before="0" w:after="0"/>
        <w:ind w:firstLine="629"/>
      </w:pPr>
      <w:r>
        <w:rPr>
          <w:rFonts w:ascii="仿宋_GB2312" w:hAnsi="仿宋_GB2312" w:eastAsia="仿宋_GB2312"/>
          <w:b w:val="0"/>
          <w:sz w:val="30"/>
        </w:rPr>
        <w:t>- 抗辩观点：针对欠费余额，原告应先扣除实际付款、建设单位承诺减免、物业书面优惠、抵扣和重复收费；部分付款的核销顺序须有账簿依据。</w:t>
      </w:r>
    </w:p>
    <w:p>
      <w:pPr>
        <w:spacing w:line="360" w:lineRule="auto" w:before="0" w:after="0"/>
        <w:ind w:firstLine="629"/>
      </w:pPr>
      <w:r>
        <w:rPr>
          <w:rFonts w:ascii="仿宋_GB2312" w:hAnsi="仿宋_GB2312" w:eastAsia="仿宋_GB2312"/>
          <w:b w:val="0"/>
          <w:sz w:val="30"/>
        </w:rPr>
        <w:t>- 事实和证据：P3第13页是物业一方自认“已交至2022年12月31日”，但没有2021—2026年完整流水、收据、付款人、优惠约定或核销明细。当前没有证据证明2023年以后另有付款，也没有证据证明存在减免或重复收费。</w:t>
      </w:r>
    </w:p>
    <w:p>
      <w:pPr>
        <w:spacing w:line="360" w:lineRule="auto" w:before="0" w:after="0"/>
        <w:ind w:firstLine="629"/>
      </w:pPr>
      <w:r>
        <w:rPr>
          <w:rFonts w:ascii="仿宋_GB2312" w:hAnsi="仿宋_GB2312" w:eastAsia="仿宋_GB2312"/>
          <w:b w:val="0"/>
          <w:sz w:val="30"/>
        </w:rPr>
        <w:t>- 法律依据：《民法典》第509条全面履行和诚信原则；2010年湖南收费办法第27—29条禁止重复、无服务和未标明收费；2022年办法第22条要求明码标价。[民法典](https://www.court.gov.cn/zixun/xiangqing/233181.html)；[2010年湖南收费办法](https://www.hunan.gov.cn/xxgk/wjk/szbmwj/201006/t20100610_4884242.html)；[2022年湖南收费办法](https://fgw.hunan.gov.cn/fgw/xxgk_70899/c101588/c101602/202205/t20220507_24466789.html)</w:t>
      </w:r>
    </w:p>
    <w:p>
      <w:pPr>
        <w:spacing w:line="360" w:lineRule="auto" w:before="0" w:after="0"/>
        <w:ind w:firstLine="629"/>
      </w:pPr>
      <w:r>
        <w:rPr>
          <w:rFonts w:ascii="仿宋_GB2312" w:hAnsi="仿宋_GB2312" w:eastAsia="仿宋_GB2312"/>
          <w:b w:val="0"/>
          <w:sz w:val="30"/>
        </w:rPr>
        <w:t>- 实际作用：只影响有凭证的具体本金；同时，李国平本人在知情后付款可能反过来构成对个人协议的追认。</w:t>
      </w:r>
    </w:p>
    <w:p>
      <w:pPr>
        <w:spacing w:line="360" w:lineRule="auto" w:before="0" w:after="0"/>
        <w:ind w:firstLine="629"/>
      </w:pPr>
      <w:r>
        <w:rPr>
          <w:rFonts w:ascii="仿宋_GB2312" w:hAnsi="仿宋_GB2312" w:eastAsia="仿宋_GB2312"/>
          <w:b w:val="0"/>
          <w:sz w:val="30"/>
        </w:rPr>
        <w:t>- 证据缺口与对方可能反驳：调银行/微信流水、物业收据、发票、收费台账、减免审批。必须把不利付款证据一起提交并解释，不能隐瞒。</w:t>
      </w:r>
    </w:p>
    <w:p>
      <w:pPr>
        <w:spacing w:line="360" w:lineRule="auto" w:before="0" w:after="0"/>
        <w:ind w:firstLine="629"/>
      </w:pPr>
      <w:r>
        <w:rPr>
          <w:rFonts w:ascii="仿宋_GB2312" w:hAnsi="仿宋_GB2312" w:eastAsia="仿宋_GB2312"/>
          <w:b w:val="0"/>
          <w:sz w:val="30"/>
        </w:rPr>
        <w:t>- 优先级：补证后中高。能直接减钱，但也可能增强追认风险。</w:t>
      </w:r>
    </w:p>
    <w:p>
      <w:pPr>
        <w:spacing w:line="360" w:lineRule="auto" w:before="40" w:after="0"/>
      </w:pPr>
      <w:r>
        <w:rPr>
          <w:rFonts w:ascii="黑体" w:hAnsi="黑体" w:eastAsia="黑体"/>
          <w:b/>
          <w:sz w:val="30"/>
        </w:rPr>
        <w:t>16. 若2023—2026年存在新物业合同、生效解聘决定或原物业拒不退场，可切断相应期间收费权</w:t>
      </w:r>
    </w:p>
    <w:p>
      <w:pPr>
        <w:spacing w:line="360" w:lineRule="auto" w:before="0" w:after="0"/>
        <w:ind w:firstLine="629"/>
      </w:pPr>
      <w:r>
        <w:rPr>
          <w:rFonts w:ascii="仿宋_GB2312" w:hAnsi="仿宋_GB2312" w:eastAsia="仿宋_GB2312"/>
          <w:b w:val="0"/>
          <w:sz w:val="30"/>
        </w:rPr>
        <w:t>- 抗辩观点：针对合同期间，核查业主大会是否另行选聘、基础前期合同是否终止、原告是否应退场而拒不退场；若成立，终止后的收费请求应适用不同规则，拒不退场期间可能无权请求物业费。</w:t>
      </w:r>
    </w:p>
    <w:p>
      <w:pPr>
        <w:spacing w:line="360" w:lineRule="auto" w:before="0" w:after="0"/>
        <w:ind w:firstLine="629"/>
      </w:pPr>
      <w:r>
        <w:rPr>
          <w:rFonts w:ascii="仿宋_GB2312" w:hAnsi="仿宋_GB2312" w:eastAsia="仿宋_GB2312"/>
          <w:b w:val="0"/>
          <w:sz w:val="30"/>
        </w:rPr>
        <w:t>- 事实和证据：D2第10页第36条把期限联结至首届业委会与新物业签约。当前没有业委会成立、解聘、新合同、交接或退场材料，也没有证据证明发生了这些事件。</w:t>
      </w:r>
    </w:p>
    <w:p>
      <w:pPr>
        <w:spacing w:line="360" w:lineRule="auto" w:before="0" w:after="0"/>
        <w:ind w:firstLine="629"/>
      </w:pPr>
      <w:r>
        <w:rPr>
          <w:rFonts w:ascii="仿宋_GB2312" w:hAnsi="仿宋_GB2312" w:eastAsia="仿宋_GB2312"/>
          <w:b w:val="0"/>
          <w:sz w:val="30"/>
        </w:rPr>
        <w:t>- 法律依据：《民法典》第940、946—949条；最高人民法院2025年物业服务合同纠纷典型案例三明确区分合同终止后正常续延与拒不退出。[民法典](https://www.court.gov.cn/zixun/xiangqing/233181.html)；[最高人民法院物业服务合同纠纷典型案例](https://www.court.gov.cn/zixun/xiangqing/483521.html)</w:t>
      </w:r>
    </w:p>
    <w:p>
      <w:pPr>
        <w:spacing w:line="360" w:lineRule="auto" w:before="0" w:after="0"/>
        <w:ind w:firstLine="629"/>
      </w:pPr>
      <w:r>
        <w:rPr>
          <w:rFonts w:ascii="仿宋_GB2312" w:hAnsi="仿宋_GB2312" w:eastAsia="仿宋_GB2312"/>
          <w:b w:val="0"/>
          <w:sz w:val="30"/>
        </w:rPr>
        <w:t>- 实际作用：若事实成立，可能排除终止后部分或全部本金；若原告一直依法持续服务且业主未选新物业，第948条反而有利于原告。</w:t>
      </w:r>
    </w:p>
    <w:p>
      <w:pPr>
        <w:spacing w:line="360" w:lineRule="auto" w:before="0" w:after="0"/>
        <w:ind w:firstLine="629"/>
      </w:pPr>
      <w:r>
        <w:rPr>
          <w:rFonts w:ascii="仿宋_GB2312" w:hAnsi="仿宋_GB2312" w:eastAsia="仿宋_GB2312"/>
          <w:b w:val="0"/>
          <w:sz w:val="30"/>
        </w:rPr>
        <w:t>- 证据缺口与对方可能反驳：向街道、住建部门、业委会调取成立备案、业主大会决议、新合同、交接和公示。没有线索前不宜在庭上断言合同已终止。</w:t>
      </w:r>
    </w:p>
    <w:p>
      <w:pPr>
        <w:spacing w:line="360" w:lineRule="auto" w:before="0" w:after="0"/>
        <w:ind w:firstLine="629"/>
      </w:pPr>
      <w:r>
        <w:rPr>
          <w:rFonts w:ascii="仿宋_GB2312" w:hAnsi="仿宋_GB2312" w:eastAsia="仿宋_GB2312"/>
          <w:b w:val="0"/>
          <w:sz w:val="30"/>
        </w:rPr>
        <w:t>- 优先级：补证后中。潜在作用大，但当前没有事实线索。</w:t>
      </w:r>
    </w:p>
    <w:p>
      <w:pPr>
        <w:spacing w:line="360" w:lineRule="auto" w:before="40" w:after="0"/>
      </w:pPr>
      <w:r>
        <w:rPr>
          <w:rFonts w:ascii="黑体" w:hAnsi="黑体" w:eastAsia="黑体"/>
          <w:b/>
          <w:sz w:val="30"/>
        </w:rPr>
        <w:t>17. 招投标抗辩应以完整底卷中的具体不公正事实为核心，而不是只证明企业有关联</w:t>
      </w:r>
    </w:p>
    <w:p>
      <w:pPr>
        <w:spacing w:line="360" w:lineRule="auto" w:before="0" w:after="0"/>
        <w:ind w:firstLine="629"/>
      </w:pPr>
      <w:r>
        <w:rPr>
          <w:rFonts w:ascii="仿宋_GB2312" w:hAnsi="仿宋_GB2312" w:eastAsia="仿宋_GB2312"/>
          <w:b w:val="0"/>
          <w:sz w:val="30"/>
        </w:rPr>
        <w:t>- 抗辩观点：如完整招标文件、投标人名单、评标记录、关联关系和评分资料能够证明招标人与中标人利害关系实际影响公正，或多个投标人存在同一负责人/控股管理关系，可进一步主张投标结果违法，并论证该违法对2016年合同效力及第939条“依法订立”的影响。</w:t>
      </w:r>
    </w:p>
    <w:p>
      <w:pPr>
        <w:spacing w:line="360" w:lineRule="auto" w:before="0" w:after="0"/>
        <w:ind w:firstLine="629"/>
      </w:pPr>
      <w:r>
        <w:rPr>
          <w:rFonts w:ascii="仿宋_GB2312" w:hAnsi="仿宋_GB2312" w:eastAsia="仿宋_GB2312"/>
          <w:b w:val="0"/>
          <w:sz w:val="30"/>
        </w:rPr>
        <w:t>- 事实和证据：D4显示2016年4月22日确有中标通知，不宜说“完全未招标”；D5仅是备案表；A1第12—14页已经作出不利判断，认为同一上级100%控股、人员交叉不足以证明实质影响招标。现有材料没有其他投标人的完整工商关系、投标文件、评分过程或特殊待遇证据。</w:t>
      </w:r>
    </w:p>
    <w:p>
      <w:pPr>
        <w:spacing w:line="360" w:lineRule="auto" w:before="0" w:after="0"/>
        <w:ind w:firstLine="629"/>
      </w:pPr>
      <w:r>
        <w:rPr>
          <w:rFonts w:ascii="仿宋_GB2312" w:hAnsi="仿宋_GB2312" w:eastAsia="仿宋_GB2312"/>
          <w:b w:val="0"/>
          <w:sz w:val="30"/>
        </w:rPr>
        <w:t>- 法律依据：2016年《物业管理条例》第24条和《湖南省实施〈物业管理条例〉办法》第14条要求住宅前期物业原则上招标；《招标投标法实施条例》第34条第一款同时要求“存在利害关系”和“可能影响公正”，第二款规制不同投标人同负责人或控股管理关系。国家发改委2026年官方答复亦明确第一款两个条件须同时具备。[物业管理条例第24条](https://www.samr.gov.cn/zw/zfxxgk/fdzdgknr/bgt/art/2023/art_f716cd25569f491a80528f22e8da464e.html)；[湖南实施办法第14条](https://zjt.hunan.gov.cn/zjt/xxgk/xinxigongkaimulu/flfg/202111/t20211112_21032091.html)；[招标投标法实施条例第34条](https://www.miit.gov.cn/jgsj/txs/txjs/flfg/art/2020/art_e8a7f915d8774c17bad99c0052f2734a.html)；[国家发改委：利害关系与影响公正两个条件须同时具备](https://www.ndrc.gov.cn/wsdwhfz/202602/t20260213_1403797.html)</w:t>
      </w:r>
    </w:p>
    <w:p>
      <w:pPr>
        <w:spacing w:line="360" w:lineRule="auto" w:before="0" w:after="0"/>
        <w:ind w:firstLine="629"/>
      </w:pPr>
      <w:r>
        <w:rPr>
          <w:rFonts w:ascii="仿宋_GB2312" w:hAnsi="仿宋_GB2312" w:eastAsia="仿宋_GB2312"/>
          <w:b w:val="0"/>
          <w:sz w:val="30"/>
        </w:rPr>
        <w:t>- 实际作用：补证非常充分时可能动摇基础合同效力或约束力；即使不导致无效，也可支持法院严格审查费率、版本和服务。2016年合同效力仍须按当时《合同法》第52条第（五）项及合同法解释（二）第14条的“效力性强制性规定”标准分析，不能从“投标无效”一步跳到“合同无效、费用为零”。[原合同法](https://www.gjxfj.gov.cn/gjxfj/xxgk/fgwj/flfg/webinfo/2016/03/1460585589985426.htm)；[合同法解释（二）第14条](https://gongbao.court.gov.cn/Details/7100a86f0aec21e6f9eb6c813cd081.html)</w:t>
      </w:r>
    </w:p>
    <w:p>
      <w:pPr>
        <w:spacing w:line="360" w:lineRule="auto" w:before="0" w:after="0"/>
        <w:ind w:firstLine="629"/>
      </w:pPr>
      <w:r>
        <w:rPr>
          <w:rFonts w:ascii="仿宋_GB2312" w:hAnsi="仿宋_GB2312" w:eastAsia="仿宋_GB2312"/>
          <w:b w:val="0"/>
          <w:sz w:val="30"/>
        </w:rPr>
        <w:t>- 证据缺口与对方可能反驳：调取招标公告/邀请、三家投标文件、股权穿透、负责人任职、评委名单评分、通讯和报价形成资料。对方会援引27046号一审、一般《招标投标法》只调整工程建设项目以及长期履行稳定性；我方应强调住宅前期物业还有专项强制招标体系，但必须正面回答规范层级和合同效力问题。</w:t>
      </w:r>
    </w:p>
    <w:p>
      <w:pPr>
        <w:spacing w:line="360" w:lineRule="auto" w:before="0" w:after="0"/>
        <w:ind w:firstLine="629"/>
      </w:pPr>
      <w:r>
        <w:rPr>
          <w:rFonts w:ascii="仿宋_GB2312" w:hAnsi="仿宋_GB2312" w:eastAsia="仿宋_GB2312"/>
          <w:b w:val="0"/>
          <w:sz w:val="30"/>
        </w:rPr>
        <w:t>- 优先级：补证后中。理论空间存在，但举证门槛高、已有不利判决。</w:t>
      </w:r>
    </w:p>
    <w:p>
      <w:pPr>
        <w:spacing w:line="360" w:lineRule="auto" w:before="40" w:after="0"/>
      </w:pPr>
      <w:r>
        <w:rPr>
          <w:rFonts w:ascii="黑体" w:hAnsi="黑体" w:eastAsia="黑体"/>
          <w:b/>
          <w:sz w:val="30"/>
        </w:rPr>
        <w:t>18. “不签协议不能收房”的证据更适合补强代理、提示说明和起费条件，不宜现阶段单独主张撤销</w:t>
      </w:r>
    </w:p>
    <w:p>
      <w:pPr>
        <w:spacing w:line="360" w:lineRule="auto" w:before="0" w:after="0"/>
        <w:ind w:firstLine="629"/>
      </w:pPr>
      <w:r>
        <w:rPr>
          <w:rFonts w:ascii="仿宋_GB2312" w:hAnsi="仿宋_GB2312" w:eastAsia="仿宋_GB2312"/>
          <w:b w:val="0"/>
          <w:sz w:val="30"/>
        </w:rPr>
        <w:t>- 抗辩观点：如果交房资料、录音或证人证实物业把签署个人协议作为交付房屋的额外条件，可用于证明李国平未自愿作出授权、物业知道其反对、重大格式条款没有真实协商和说明；还可核查交房条件是否合法。</w:t>
      </w:r>
    </w:p>
    <w:p>
      <w:pPr>
        <w:spacing w:line="360" w:lineRule="auto" w:before="0" w:after="0"/>
        <w:ind w:firstLine="629"/>
      </w:pPr>
      <w:r>
        <w:rPr>
          <w:rFonts w:ascii="仿宋_GB2312" w:hAnsi="仿宋_GB2312" w:eastAsia="仿宋_GB2312"/>
          <w:b w:val="0"/>
          <w:sz w:val="30"/>
        </w:rPr>
        <w:t>- 事实和证据：现仅有李国平陈述，无购房合同、交房通知、当日登记、录像和投诉。P2第7页将起费日与《入伙通知书》确定的入伙日期次月相连，但该通知书未见。</w:t>
      </w:r>
    </w:p>
    <w:p>
      <w:pPr>
        <w:spacing w:line="360" w:lineRule="auto" w:before="0" w:after="0"/>
        <w:ind w:firstLine="629"/>
      </w:pPr>
      <w:r>
        <w:rPr>
          <w:rFonts w:ascii="仿宋_GB2312" w:hAnsi="仿宋_GB2312" w:eastAsia="仿宋_GB2312"/>
          <w:b w:val="0"/>
          <w:sz w:val="30"/>
        </w:rPr>
        <w:t>- 法律依据：《民法典》第150、152条规定胁迫撤销及一年、五年除斥期间；第496条规定格式条款提示说明；第171、172条规定代理。《民法典》时间效力规定第1条决定2021年事实适用民法典。[民法典](https://www.court.gov.cn/zixun/xiangqing/233181.html)；[民法典时间效力规定](https://www.court.gov.cn/shenpan/xiangqing/282051.html)</w:t>
      </w:r>
    </w:p>
    <w:p>
      <w:pPr>
        <w:spacing w:line="360" w:lineRule="auto" w:before="0" w:after="0"/>
        <w:ind w:firstLine="629"/>
      </w:pPr>
      <w:r>
        <w:rPr>
          <w:rFonts w:ascii="仿宋_GB2312" w:hAnsi="仿宋_GB2312" w:eastAsia="仿宋_GB2312"/>
          <w:b w:val="0"/>
          <w:sz w:val="30"/>
        </w:rPr>
        <w:t>- 实际作用：主要增强个人协议不对李国平发生效力及格式条款抗辩；由于2021年3月31日至今已超过五年，撤销权请求存在决定性期间障碍。</w:t>
      </w:r>
    </w:p>
    <w:p>
      <w:pPr>
        <w:spacing w:line="360" w:lineRule="auto" w:before="0" w:after="0"/>
        <w:ind w:firstLine="629"/>
      </w:pPr>
      <w:r>
        <w:rPr>
          <w:rFonts w:ascii="仿宋_GB2312" w:hAnsi="仿宋_GB2312" w:eastAsia="仿宋_GB2312"/>
          <w:b w:val="0"/>
          <w:sz w:val="30"/>
        </w:rPr>
        <w:t>- 证据缺口与对方可能反驳：补购房合同、交付条件、入伙通知、现场证人、录像和同期投诉。对方会主张签约是正常交房流程、李国平最终同意且后续履行；必须用具体言行而非“争吵激烈”“无奈”证明。</w:t>
      </w:r>
    </w:p>
    <w:p>
      <w:pPr>
        <w:spacing w:line="360" w:lineRule="auto" w:before="0" w:after="0"/>
        <w:ind w:firstLine="629"/>
      </w:pPr>
      <w:r>
        <w:rPr>
          <w:rFonts w:ascii="仿宋_GB2312" w:hAnsi="仿宋_GB2312" w:eastAsia="仿宋_GB2312"/>
          <w:b w:val="0"/>
          <w:sz w:val="30"/>
        </w:rPr>
        <w:t>- 优先级：补证后中。用于补强其他抗辩，当前不宜作为独立撤销请求。</w:t>
      </w:r>
    </w:p>
    <w:p>
      <w:pPr>
        <w:spacing w:line="360" w:lineRule="auto" w:before="40" w:after="0"/>
      </w:pPr>
      <w:r>
        <w:rPr>
          <w:rFonts w:ascii="黑体" w:hAnsi="黑体" w:eastAsia="黑体"/>
          <w:b/>
          <w:sz w:val="30"/>
        </w:rPr>
        <w:t>四、目前不宜提出</w:t>
      </w:r>
    </w:p>
    <w:p>
      <w:pPr>
        <w:spacing w:line="360" w:lineRule="auto" w:before="40" w:after="0"/>
      </w:pPr>
      <w:r>
        <w:rPr>
          <w:rFonts w:ascii="黑体" w:hAnsi="黑体" w:eastAsia="黑体"/>
          <w:b/>
          <w:sz w:val="30"/>
        </w:rPr>
        <w:t>19. 不宜表述为“已经取得一真一假两份合同”或直接指控物业伪造</w:t>
      </w:r>
    </w:p>
    <w:p>
      <w:pPr>
        <w:spacing w:line="360" w:lineRule="auto" w:before="0" w:after="0"/>
        <w:ind w:firstLine="629"/>
      </w:pPr>
      <w:r>
        <w:rPr>
          <w:rFonts w:ascii="仿宋_GB2312" w:hAnsi="仿宋_GB2312" w:eastAsia="仿宋_GB2312"/>
          <w:b w:val="0"/>
          <w:sz w:val="30"/>
        </w:rPr>
        <w:t>- 抗辩观点：目前只能主张“版本/日期存在重大待查差异，要求原件和形成说明”，不能主张一份真、一份假或伪造签章。</w:t>
      </w:r>
    </w:p>
    <w:p>
      <w:pPr>
        <w:spacing w:line="360" w:lineRule="auto" w:before="0" w:after="0"/>
        <w:ind w:firstLine="629"/>
      </w:pPr>
      <w:r>
        <w:rPr>
          <w:rFonts w:ascii="仿宋_GB2312" w:hAnsi="仿宋_GB2312" w:eastAsia="仿宋_GB2312"/>
          <w:b w:val="0"/>
          <w:sz w:val="30"/>
        </w:rPr>
        <w:t>- 事实和证据：当前目录只找到D2第1—25页的完整8月31日合同和D8第40—41页“2016年5月签约”的行政回复，未找到5月31日完整原件；行政回复不等于第二份完整合同。</w:t>
      </w:r>
    </w:p>
    <w:p>
      <w:pPr>
        <w:spacing w:line="360" w:lineRule="auto" w:before="0" w:after="0"/>
        <w:ind w:firstLine="629"/>
      </w:pPr>
      <w:r>
        <w:rPr>
          <w:rFonts w:ascii="仿宋_GB2312" w:hAnsi="仿宋_GB2312" w:eastAsia="仿宋_GB2312"/>
          <w:b w:val="0"/>
          <w:sz w:val="30"/>
        </w:rPr>
        <w:t>- 法律依据：《民事证据规定》第86条要求欺诈、胁迫、恶意串通等事实达到排除合理怀疑的高度盖然性；第87、92条要求审查原件、形式瑕疵和真实性。[民事证据规定](https://www.court.gov.cn/zixun/xiangqing/212721.html)</w:t>
      </w:r>
    </w:p>
    <w:p>
      <w:pPr>
        <w:spacing w:line="360" w:lineRule="auto" w:before="0" w:after="0"/>
        <w:ind w:firstLine="629"/>
      </w:pPr>
      <w:r>
        <w:rPr>
          <w:rFonts w:ascii="仿宋_GB2312" w:hAnsi="仿宋_GB2312" w:eastAsia="仿宋_GB2312"/>
          <w:b w:val="0"/>
          <w:sz w:val="30"/>
        </w:rPr>
        <w:t>- 实际作用：避免无证据指控反过来损害可信度；两份材料仍可用于申请书证提出命令。</w:t>
      </w:r>
    </w:p>
    <w:p>
      <w:pPr>
        <w:spacing w:line="360" w:lineRule="auto" w:before="0" w:after="0"/>
        <w:ind w:firstLine="629"/>
      </w:pPr>
      <w:r>
        <w:rPr>
          <w:rFonts w:ascii="仿宋_GB2312" w:hAnsi="仿宋_GB2312" w:eastAsia="仿宋_GB2312"/>
          <w:b w:val="0"/>
          <w:sz w:val="30"/>
        </w:rPr>
        <w:t>- 证据缺口与对方可能反驳：只有取得两份完整原件、鉴定或形成机关说明后，才评估真伪主张。</w:t>
      </w:r>
    </w:p>
    <w:p>
      <w:pPr>
        <w:spacing w:line="360" w:lineRule="auto" w:before="0" w:after="0"/>
        <w:ind w:firstLine="629"/>
      </w:pPr>
      <w:r>
        <w:rPr>
          <w:rFonts w:ascii="仿宋_GB2312" w:hAnsi="仿宋_GB2312" w:eastAsia="仿宋_GB2312"/>
          <w:b w:val="0"/>
          <w:sz w:val="30"/>
        </w:rPr>
        <w:t>- 优先级：高风险，当前禁用。</w:t>
      </w:r>
    </w:p>
    <w:p>
      <w:pPr>
        <w:spacing w:line="360" w:lineRule="auto" w:before="40" w:after="0"/>
      </w:pPr>
      <w:r>
        <w:rPr>
          <w:rFonts w:ascii="黑体" w:hAnsi="黑体" w:eastAsia="黑体"/>
          <w:b/>
          <w:sz w:val="30"/>
        </w:rPr>
        <w:t>20. 不宜仅凭招标人与中标人存在关联关系，就认定违反《招标投标法实施条例》第34条并当然合同无效</w:t>
      </w:r>
    </w:p>
    <w:p>
      <w:pPr>
        <w:spacing w:line="360" w:lineRule="auto" w:before="0" w:after="0"/>
        <w:ind w:firstLine="629"/>
      </w:pPr>
      <w:r>
        <w:rPr>
          <w:rFonts w:ascii="仿宋_GB2312" w:hAnsi="仿宋_GB2312" w:eastAsia="仿宋_GB2312"/>
          <w:b w:val="0"/>
          <w:sz w:val="30"/>
        </w:rPr>
        <w:t>- 抗辩观点：现有“姐妹公司/同一上级股东”只能构成深入调查线索，不能替代“可能影响招标公正性”的具体事实；第34条第二款又是规制不同投标人之间同负责人或控股管理关系，不能误套到招标人与单一中标人。</w:t>
      </w:r>
    </w:p>
    <w:p>
      <w:pPr>
        <w:spacing w:line="360" w:lineRule="auto" w:before="0" w:after="0"/>
        <w:ind w:firstLine="629"/>
      </w:pPr>
      <w:r>
        <w:rPr>
          <w:rFonts w:ascii="仿宋_GB2312" w:hAnsi="仿宋_GB2312" w:eastAsia="仿宋_GB2312"/>
          <w:b w:val="0"/>
          <w:sz w:val="30"/>
        </w:rPr>
        <w:t>- 事实和证据：A1第12—14页已经明确作出相反判断；D4证明存在中标结果；暂无完整投标人关系和评标偏袒证据。</w:t>
      </w:r>
    </w:p>
    <w:p>
      <w:pPr>
        <w:spacing w:line="360" w:lineRule="auto" w:before="0" w:after="0"/>
        <w:ind w:firstLine="629"/>
      </w:pPr>
      <w:r>
        <w:rPr>
          <w:rFonts w:ascii="仿宋_GB2312" w:hAnsi="仿宋_GB2312" w:eastAsia="仿宋_GB2312"/>
          <w:b w:val="0"/>
          <w:sz w:val="30"/>
        </w:rPr>
        <w:t>- 法律依据：《招标投标法实施条例》第2、34条；国家发改委2026年官方答复明确第一款两个条件同时具备。[实施条例](https://www.miit.gov.cn/jgsj/txs/txjs/flfg/art/2020/art_e8a7f915d8774c17bad99c0052f2734a.html)；[国家发改委答复](https://www.ndrc.gov.cn/wsdwhfz/202602/t20260213_1403797.html)</w:t>
      </w:r>
    </w:p>
    <w:p>
      <w:pPr>
        <w:spacing w:line="360" w:lineRule="auto" w:before="0" w:after="0"/>
        <w:ind w:firstLine="629"/>
      </w:pPr>
      <w:r>
        <w:rPr>
          <w:rFonts w:ascii="仿宋_GB2312" w:hAnsi="仿宋_GB2312" w:eastAsia="仿宋_GB2312"/>
          <w:b w:val="0"/>
          <w:sz w:val="30"/>
        </w:rPr>
        <w:t>- 实际作用：目前直接提出容易被A1反制，且会遮蔽更强的债权证明抗辩。</w:t>
      </w:r>
    </w:p>
    <w:p>
      <w:pPr>
        <w:spacing w:line="360" w:lineRule="auto" w:before="0" w:after="0"/>
        <w:ind w:firstLine="629"/>
      </w:pPr>
      <w:r>
        <w:rPr>
          <w:rFonts w:ascii="仿宋_GB2312" w:hAnsi="仿宋_GB2312" w:eastAsia="仿宋_GB2312"/>
          <w:b w:val="0"/>
          <w:sz w:val="30"/>
        </w:rPr>
        <w:t>- 证据缺口与对方可能反驳：同第17项；补证后再按专项物业招标规则论证。</w:t>
      </w:r>
    </w:p>
    <w:p>
      <w:pPr>
        <w:spacing w:line="360" w:lineRule="auto" w:before="0" w:after="0"/>
        <w:ind w:firstLine="629"/>
      </w:pPr>
      <w:r>
        <w:rPr>
          <w:rFonts w:ascii="仿宋_GB2312" w:hAnsi="仿宋_GB2312" w:eastAsia="仿宋_GB2312"/>
          <w:b w:val="0"/>
          <w:sz w:val="30"/>
        </w:rPr>
        <w:t>- 优先级：高风险，当前不宜。</w:t>
      </w:r>
    </w:p>
    <w:p>
      <w:pPr>
        <w:spacing w:line="360" w:lineRule="auto" w:before="40" w:after="0"/>
      </w:pPr>
      <w:r>
        <w:rPr>
          <w:rFonts w:ascii="黑体" w:hAnsi="黑体" w:eastAsia="黑体"/>
          <w:b/>
          <w:sz w:val="30"/>
        </w:rPr>
        <w:t>21. 不宜以现有材料主张《民法典》第154条“恶意串通”已经成立</w:t>
      </w:r>
    </w:p>
    <w:p>
      <w:pPr>
        <w:spacing w:line="360" w:lineRule="auto" w:before="0" w:after="0"/>
        <w:ind w:firstLine="629"/>
      </w:pPr>
      <w:r>
        <w:rPr>
          <w:rFonts w:ascii="仿宋_GB2312" w:hAnsi="仿宋_GB2312" w:eastAsia="仿宋_GB2312"/>
          <w:b w:val="0"/>
          <w:sz w:val="30"/>
        </w:rPr>
        <w:t>- 抗辩观点：企业关联、负责人交叉、合同日期差异和备案迟延尚不能证明双方具有共同恶意并损害业主合法权益。</w:t>
      </w:r>
    </w:p>
    <w:p>
      <w:pPr>
        <w:spacing w:line="360" w:lineRule="auto" w:before="0" w:after="0"/>
        <w:ind w:firstLine="629"/>
      </w:pPr>
      <w:r>
        <w:rPr>
          <w:rFonts w:ascii="仿宋_GB2312" w:hAnsi="仿宋_GB2312" w:eastAsia="仿宋_GB2312"/>
          <w:b w:val="0"/>
          <w:sz w:val="30"/>
        </w:rPr>
        <w:t>- 事实和证据：A1第12—14页已有不利认定；没有串通通讯、虚假报价、陪标安排、利益输送或共同隐瞒的直接证据。</w:t>
      </w:r>
    </w:p>
    <w:p>
      <w:pPr>
        <w:spacing w:line="360" w:lineRule="auto" w:before="0" w:after="0"/>
        <w:ind w:firstLine="629"/>
      </w:pPr>
      <w:r>
        <w:rPr>
          <w:rFonts w:ascii="仿宋_GB2312" w:hAnsi="仿宋_GB2312" w:eastAsia="仿宋_GB2312"/>
          <w:b w:val="0"/>
          <w:sz w:val="30"/>
        </w:rPr>
        <w:t>- 法律依据：《民法典》第154条；《民事证据规定》第86条对恶意串通要求达到排除合理怀疑。且2016年合同效力原则上先适用当时《合同法》，不宜以2021年生效的民法典条号直接统摄全部成立事实。[民法典第154条](https://www.court.gov.cn/zixun/xiangqing/233181.html)；[民事证据规定第86条](https://www.court.gov.cn/zixun/xiangqing/212721.html)；[时间效力规定](https://www.court.gov.cn/shenpan/xiangqing/282051.html)</w:t>
      </w:r>
    </w:p>
    <w:p>
      <w:pPr>
        <w:spacing w:line="360" w:lineRule="auto" w:before="0" w:after="0"/>
        <w:ind w:firstLine="629"/>
      </w:pPr>
      <w:r>
        <w:rPr>
          <w:rFonts w:ascii="仿宋_GB2312" w:hAnsi="仿宋_GB2312" w:eastAsia="仿宋_GB2312"/>
          <w:b w:val="0"/>
          <w:sz w:val="30"/>
        </w:rPr>
        <w:t>- 实际作用：目前提出胜算低，且会承担过高事实证明负担。</w:t>
      </w:r>
    </w:p>
    <w:p>
      <w:pPr>
        <w:spacing w:line="360" w:lineRule="auto" w:before="0" w:after="0"/>
        <w:ind w:firstLine="629"/>
      </w:pPr>
      <w:r>
        <w:rPr>
          <w:rFonts w:ascii="仿宋_GB2312" w:hAnsi="仿宋_GB2312" w:eastAsia="仿宋_GB2312"/>
          <w:b w:val="0"/>
          <w:sz w:val="30"/>
        </w:rPr>
        <w:t>- 证据缺口与对方可能反驳：需第17项所列完整底卷及共同恶意证据。</w:t>
      </w:r>
    </w:p>
    <w:p>
      <w:pPr>
        <w:spacing w:line="360" w:lineRule="auto" w:before="0" w:after="0"/>
        <w:ind w:firstLine="629"/>
      </w:pPr>
      <w:r>
        <w:rPr>
          <w:rFonts w:ascii="仿宋_GB2312" w:hAnsi="仿宋_GB2312" w:eastAsia="仿宋_GB2312"/>
          <w:b w:val="0"/>
          <w:sz w:val="30"/>
        </w:rPr>
        <w:t>- 优先级：高风险，当前不宜。</w:t>
      </w:r>
    </w:p>
    <w:p>
      <w:pPr>
        <w:spacing w:line="360" w:lineRule="auto" w:before="40" w:after="0"/>
      </w:pPr>
      <w:r>
        <w:rPr>
          <w:rFonts w:ascii="黑体" w:hAnsi="黑体" w:eastAsia="黑体"/>
          <w:b/>
          <w:sz w:val="30"/>
        </w:rPr>
        <w:t>22. 不宜把“主管部门未找到/遗失档案”表述为“从未招投标”</w:t>
      </w:r>
    </w:p>
    <w:p>
      <w:pPr>
        <w:spacing w:line="360" w:lineRule="auto" w:before="0" w:after="0"/>
        <w:ind w:firstLine="629"/>
      </w:pPr>
      <w:r>
        <w:rPr>
          <w:rFonts w:ascii="仿宋_GB2312" w:hAnsi="仿宋_GB2312" w:eastAsia="仿宋_GB2312"/>
          <w:b w:val="0"/>
          <w:sz w:val="30"/>
        </w:rPr>
        <w:t>- 抗辩观点：即使补到正式信息公开答复，证明范围通常也只是答复机关在特定检索范围内未找到材料，不能与历史上从未发生招标画等号。</w:t>
      </w:r>
    </w:p>
    <w:p>
      <w:pPr>
        <w:spacing w:line="360" w:lineRule="auto" w:before="0" w:after="0"/>
        <w:ind w:firstLine="629"/>
      </w:pPr>
      <w:r>
        <w:rPr>
          <w:rFonts w:ascii="仿宋_GB2312" w:hAnsi="仿宋_GB2312" w:eastAsia="仿宋_GB2312"/>
          <w:b w:val="0"/>
          <w:sz w:val="30"/>
        </w:rPr>
        <w:t>- 事实和证据：当前目录没有检出用户所述“招投标资料未找到或遗失”的完整信息公开答复原件；D4中标通知和D5备案表是相反线索。现有“档案搬迁、遗失”多见于当事人诉状/代理意见，不能当作政府原话。</w:t>
      </w:r>
    </w:p>
    <w:p>
      <w:pPr>
        <w:spacing w:line="360" w:lineRule="auto" w:before="0" w:after="0"/>
        <w:ind w:firstLine="629"/>
      </w:pPr>
      <w:r>
        <w:rPr>
          <w:rFonts w:ascii="仿宋_GB2312" w:hAnsi="仿宋_GB2312" w:eastAsia="仿宋_GB2312"/>
          <w:b w:val="0"/>
          <w:sz w:val="30"/>
        </w:rPr>
        <w:t>- 法律依据：《民事证据规定》第85、87、90条要求结合证据来源、内容和全案证据判断，孤证及无法核对复制件不能单独定案。[民事证据规定](https://www.court.gov.cn/zixun/xiangqing/212721.html)</w:t>
      </w:r>
    </w:p>
    <w:p>
      <w:pPr>
        <w:spacing w:line="360" w:lineRule="auto" w:before="0" w:after="0"/>
        <w:ind w:firstLine="629"/>
      </w:pPr>
      <w:r>
        <w:rPr>
          <w:rFonts w:ascii="仿宋_GB2312" w:hAnsi="仿宋_GB2312" w:eastAsia="仿宋_GB2312"/>
          <w:b w:val="0"/>
          <w:sz w:val="30"/>
        </w:rPr>
        <w:t>- 实际作用：正式答复可支持证据缺口和申请调取，但不能单独推翻D4/D5。</w:t>
      </w:r>
    </w:p>
    <w:p>
      <w:pPr>
        <w:spacing w:line="360" w:lineRule="auto" w:before="0" w:after="0"/>
        <w:ind w:firstLine="629"/>
      </w:pPr>
      <w:r>
        <w:rPr>
          <w:rFonts w:ascii="仿宋_GB2312" w:hAnsi="仿宋_GB2312" w:eastAsia="仿宋_GB2312"/>
          <w:b w:val="0"/>
          <w:sz w:val="30"/>
        </w:rPr>
        <w:t>- 证据缺口与对方可能反驳：补答复原件、申请内容、检索机关职权和检索范围；向开发商、物业和备案机关分别调取。</w:t>
      </w:r>
    </w:p>
    <w:p>
      <w:pPr>
        <w:spacing w:line="360" w:lineRule="auto" w:before="0" w:after="0"/>
        <w:ind w:firstLine="629"/>
      </w:pPr>
      <w:r>
        <w:rPr>
          <w:rFonts w:ascii="仿宋_GB2312" w:hAnsi="仿宋_GB2312" w:eastAsia="仿宋_GB2312"/>
          <w:b w:val="0"/>
          <w:sz w:val="30"/>
        </w:rPr>
        <w:t>- 优先级：当前不宜下实体结论。</w:t>
      </w:r>
    </w:p>
    <w:p>
      <w:pPr>
        <w:spacing w:line="360" w:lineRule="auto" w:before="40" w:after="0"/>
      </w:pPr>
      <w:r>
        <w:rPr>
          <w:rFonts w:ascii="黑体" w:hAnsi="黑体" w:eastAsia="黑体"/>
          <w:b/>
          <w:sz w:val="30"/>
        </w:rPr>
        <w:t>23. 不宜主张“基础合同或个人协议无效，所以任何物业服务一律免费”</w:t>
      </w:r>
    </w:p>
    <w:p>
      <w:pPr>
        <w:spacing w:line="360" w:lineRule="auto" w:before="0" w:after="0"/>
        <w:ind w:firstLine="629"/>
      </w:pPr>
      <w:r>
        <w:rPr>
          <w:rFonts w:ascii="仿宋_GB2312" w:hAnsi="仿宋_GB2312" w:eastAsia="仿宋_GB2312"/>
          <w:b w:val="0"/>
          <w:sz w:val="30"/>
        </w:rPr>
        <w:t>- 抗辩观点：合同效力与实际服务对价是两个层次；即使书面合同不能约束李国平，法院仍可能依据实际服务、受益、原合同参照标准或不当得利规则确定合理费用。</w:t>
      </w:r>
    </w:p>
    <w:p>
      <w:pPr>
        <w:spacing w:line="360" w:lineRule="auto" w:before="0" w:after="0"/>
        <w:ind w:firstLine="629"/>
      </w:pPr>
      <w:r>
        <w:rPr>
          <w:rFonts w:ascii="仿宋_GB2312" w:hAnsi="仿宋_GB2312" w:eastAsia="仿宋_GB2312"/>
          <w:b w:val="0"/>
          <w:sz w:val="30"/>
        </w:rPr>
        <w:t>- 事实和证据：A1第10、12—14页认定物业已长期履约十余年；李国平自2021年购房后客观处于物业服务区域，P3还出现既往付款线索。</w:t>
      </w:r>
    </w:p>
    <w:p>
      <w:pPr>
        <w:spacing w:line="360" w:lineRule="auto" w:before="0" w:after="0"/>
        <w:ind w:firstLine="629"/>
      </w:pPr>
      <w:r>
        <w:rPr>
          <w:rFonts w:ascii="仿宋_GB2312" w:hAnsi="仿宋_GB2312" w:eastAsia="仿宋_GB2312"/>
          <w:b w:val="0"/>
          <w:sz w:val="30"/>
        </w:rPr>
        <w:t>- 法律依据：《民法典》第157条规定民事行为无效后的返还、折价补偿和过错责任，第944条禁止以“未接受或无需接受”否定已按约提供的物业服务。[民法典第157、944条](https://www.court.gov.cn/zixun/xiangqing/233181.html)</w:t>
      </w:r>
    </w:p>
    <w:p>
      <w:pPr>
        <w:spacing w:line="360" w:lineRule="auto" w:before="0" w:after="0"/>
        <w:ind w:firstLine="629"/>
      </w:pPr>
      <w:r>
        <w:rPr>
          <w:rFonts w:ascii="仿宋_GB2312" w:hAnsi="仿宋_GB2312" w:eastAsia="仿宋_GB2312"/>
          <w:b w:val="0"/>
          <w:sz w:val="30"/>
        </w:rPr>
        <w:t>- 实际作用：采用“全部免费”会使备位抗辩失去空间；正确做法是同时审查合理费率、实际服务、时效和已付金额。</w:t>
      </w:r>
    </w:p>
    <w:p>
      <w:pPr>
        <w:spacing w:line="360" w:lineRule="auto" w:before="0" w:after="0"/>
        <w:ind w:firstLine="629"/>
      </w:pPr>
      <w:r>
        <w:rPr>
          <w:rFonts w:ascii="仿宋_GB2312" w:hAnsi="仿宋_GB2312" w:eastAsia="仿宋_GB2312"/>
          <w:b w:val="0"/>
          <w:sz w:val="30"/>
        </w:rPr>
        <w:t>- 证据缺口与对方可能反驳：即使主张无效，也要准备服务价值、质量和合理费用证据。</w:t>
      </w:r>
    </w:p>
    <w:p>
      <w:pPr>
        <w:spacing w:line="360" w:lineRule="auto" w:before="0" w:after="0"/>
        <w:ind w:firstLine="629"/>
      </w:pPr>
      <w:r>
        <w:rPr>
          <w:rFonts w:ascii="仿宋_GB2312" w:hAnsi="仿宋_GB2312" w:eastAsia="仿宋_GB2312"/>
          <w:b w:val="0"/>
          <w:sz w:val="30"/>
        </w:rPr>
        <w:t>- 优先级：高风险，当前禁用。</w:t>
      </w:r>
    </w:p>
    <w:p>
      <w:pPr>
        <w:spacing w:line="360" w:lineRule="auto" w:before="40" w:after="0"/>
      </w:pPr>
      <w:r>
        <w:rPr>
          <w:rFonts w:ascii="黑体" w:hAnsi="黑体" w:eastAsia="黑体"/>
          <w:b/>
          <w:sz w:val="30"/>
        </w:rPr>
        <w:t>24. 不宜以熊领翠未签个人协议主张协议当然无效或李国平只承担一半物业费</w:t>
      </w:r>
    </w:p>
    <w:p>
      <w:pPr>
        <w:spacing w:line="360" w:lineRule="auto" w:before="0" w:after="0"/>
        <w:ind w:firstLine="629"/>
      </w:pPr>
      <w:r>
        <w:rPr>
          <w:rFonts w:ascii="仿宋_GB2312" w:hAnsi="仿宋_GB2312" w:eastAsia="仿宋_GB2312"/>
          <w:b w:val="0"/>
          <w:sz w:val="30"/>
        </w:rPr>
        <w:t>- 抗辩观点：共有房屋的物业费义务、共同管理及代理须结合产权、购买和履行情况判断；另一共有人未签字不是协议整体无效或自动减半的规则。</w:t>
      </w:r>
    </w:p>
    <w:p>
      <w:pPr>
        <w:spacing w:line="360" w:lineRule="auto" w:before="0" w:after="0"/>
        <w:ind w:firstLine="629"/>
      </w:pPr>
      <w:r>
        <w:rPr>
          <w:rFonts w:ascii="仿宋_GB2312" w:hAnsi="仿宋_GB2312" w:eastAsia="仿宋_GB2312"/>
          <w:b w:val="0"/>
          <w:sz w:val="30"/>
        </w:rPr>
        <w:t>- 事实和证据：D1现有产权页写共同共有、建筑面积112.38㎡，但当前关键页未显示熊领翠完整登记信息；P2只列李国平。没有证据证明物业同意只向某一共有人收取一半。</w:t>
      </w:r>
    </w:p>
    <w:p>
      <w:pPr>
        <w:spacing w:line="360" w:lineRule="auto" w:before="0" w:after="0"/>
        <w:ind w:firstLine="629"/>
      </w:pPr>
      <w:r>
        <w:rPr>
          <w:rFonts w:ascii="仿宋_GB2312" w:hAnsi="仿宋_GB2312" w:eastAsia="仿宋_GB2312"/>
          <w:b w:val="0"/>
          <w:sz w:val="30"/>
        </w:rPr>
        <w:t>- 法律依据：《民法典》第301条关于共有物重大事项、第307条关于共有债权债务的内外部关系、第939、944条关于前期物业合同和物业费。[民法典](https://www.court.gov.cn/zixun/xiangqing/233181.html)</w:t>
      </w:r>
    </w:p>
    <w:p>
      <w:pPr>
        <w:spacing w:line="360" w:lineRule="auto" w:before="0" w:after="0"/>
        <w:ind w:firstLine="629"/>
      </w:pPr>
      <w:r>
        <w:rPr>
          <w:rFonts w:ascii="仿宋_GB2312" w:hAnsi="仿宋_GB2312" w:eastAsia="仿宋_GB2312"/>
          <w:b w:val="0"/>
          <w:sz w:val="30"/>
        </w:rPr>
        <w:t>- 实际作用：该主张很可能被直接驳回；可保留“付款人、送达人是谁”的证据审查，但不推导半费。</w:t>
      </w:r>
    </w:p>
    <w:p>
      <w:pPr>
        <w:spacing w:line="360" w:lineRule="auto" w:before="0" w:after="0"/>
        <w:ind w:firstLine="629"/>
      </w:pPr>
      <w:r>
        <w:rPr>
          <w:rFonts w:ascii="仿宋_GB2312" w:hAnsi="仿宋_GB2312" w:eastAsia="仿宋_GB2312"/>
          <w:b w:val="0"/>
          <w:sz w:val="30"/>
        </w:rPr>
        <w:t>- 证据缺口与对方可能反驳：补完整产权页和家庭内部付款约定，只解决内部责任或代理事实。</w:t>
      </w:r>
    </w:p>
    <w:p>
      <w:pPr>
        <w:spacing w:line="360" w:lineRule="auto" w:before="0" w:after="0"/>
        <w:ind w:firstLine="629"/>
      </w:pPr>
      <w:r>
        <w:rPr>
          <w:rFonts w:ascii="仿宋_GB2312" w:hAnsi="仿宋_GB2312" w:eastAsia="仿宋_GB2312"/>
          <w:b w:val="0"/>
          <w:sz w:val="30"/>
        </w:rPr>
        <w:t>- 优先级：当前不宜。</w:t>
      </w:r>
    </w:p>
    <w:p>
      <w:pPr>
        <w:spacing w:line="360" w:lineRule="auto" w:before="40" w:after="0"/>
      </w:pPr>
      <w:r>
        <w:rPr>
          <w:rFonts w:ascii="黑体" w:hAnsi="黑体" w:eastAsia="黑体"/>
          <w:b/>
          <w:sz w:val="30"/>
        </w:rPr>
        <w:t>25. 不宜现时提出胁迫撤销个人协议作为独立请求</w:t>
      </w:r>
    </w:p>
    <w:p>
      <w:pPr>
        <w:spacing w:line="360" w:lineRule="auto" w:before="0" w:after="0"/>
        <w:ind w:firstLine="629"/>
      </w:pPr>
      <w:r>
        <w:rPr>
          <w:rFonts w:ascii="仿宋_GB2312" w:hAnsi="仿宋_GB2312" w:eastAsia="仿宋_GB2312"/>
          <w:b w:val="0"/>
          <w:sz w:val="30"/>
        </w:rPr>
        <w:t>- 抗辩观点：“不签不交房”若有证据可能构成不当施压，但法律上的胁迫还需证明以损害合法权益相要挟并使表意人产生恐惧；即便成立，撤销权期间也已构成重大障碍。</w:t>
      </w:r>
    </w:p>
    <w:p>
      <w:pPr>
        <w:spacing w:line="360" w:lineRule="auto" w:before="0" w:after="0"/>
        <w:ind w:firstLine="629"/>
      </w:pPr>
      <w:r>
        <w:rPr>
          <w:rFonts w:ascii="仿宋_GB2312" w:hAnsi="仿宋_GB2312" w:eastAsia="仿宋_GB2312"/>
          <w:b w:val="0"/>
          <w:sz w:val="30"/>
        </w:rPr>
        <w:t>- 事实和证据：P2签署日为2021年3月31日；截至2026年9月2日已超过五年。没有证据证明在法定期间内行使撤销权。</w:t>
      </w:r>
    </w:p>
    <w:p>
      <w:pPr>
        <w:spacing w:line="360" w:lineRule="auto" w:before="0" w:after="0"/>
        <w:ind w:firstLine="629"/>
      </w:pPr>
      <w:r>
        <w:rPr>
          <w:rFonts w:ascii="仿宋_GB2312" w:hAnsi="仿宋_GB2312" w:eastAsia="仿宋_GB2312"/>
          <w:b w:val="0"/>
          <w:sz w:val="30"/>
        </w:rPr>
        <w:t>- 法律依据：《民法典》第150条及第152条第一款第（二）项、第二款：受胁迫方自胁迫终止之日起一年，且民事行为发生后五年不行使，撤销权消灭。[民法典第150、152条](https://www.court.gov.cn/zixun/xiangqing/233181.html)</w:t>
      </w:r>
    </w:p>
    <w:p>
      <w:pPr>
        <w:spacing w:line="360" w:lineRule="auto" w:before="0" w:after="0"/>
        <w:ind w:firstLine="629"/>
      </w:pPr>
      <w:r>
        <w:rPr>
          <w:rFonts w:ascii="仿宋_GB2312" w:hAnsi="仿宋_GB2312" w:eastAsia="仿宋_GB2312"/>
          <w:b w:val="0"/>
          <w:sz w:val="30"/>
        </w:rPr>
        <w:t>- 实际作用：独立撤销请求大概率因除斥期间失败；现场施压事实仍可用于无权代理、善意和格式条款判断。</w:t>
      </w:r>
    </w:p>
    <w:p>
      <w:pPr>
        <w:spacing w:line="360" w:lineRule="auto" w:before="0" w:after="0"/>
        <w:ind w:firstLine="629"/>
      </w:pPr>
      <w:r>
        <w:rPr>
          <w:rFonts w:ascii="仿宋_GB2312" w:hAnsi="仿宋_GB2312" w:eastAsia="仿宋_GB2312"/>
          <w:b w:val="0"/>
          <w:sz w:val="30"/>
        </w:rPr>
        <w:t>- 证据缺口与对方可能反驳：即使补证，也难以跨越五年最长期间。</w:t>
      </w:r>
    </w:p>
    <w:p>
      <w:pPr>
        <w:spacing w:line="360" w:lineRule="auto" w:before="0" w:after="0"/>
        <w:ind w:firstLine="629"/>
      </w:pPr>
      <w:r>
        <w:rPr>
          <w:rFonts w:ascii="仿宋_GB2312" w:hAnsi="仿宋_GB2312" w:eastAsia="仿宋_GB2312"/>
          <w:b w:val="0"/>
          <w:sz w:val="30"/>
        </w:rPr>
        <w:t>- 优先级：高风险，当前不宜。</w:t>
      </w:r>
    </w:p>
    <w:p>
      <w:pPr>
        <w:spacing w:line="360" w:lineRule="auto" w:before="40" w:after="0"/>
      </w:pPr>
      <w:r>
        <w:rPr>
          <w:rFonts w:ascii="黑体" w:hAnsi="黑体" w:eastAsia="黑体"/>
          <w:b/>
          <w:sz w:val="30"/>
        </w:rPr>
        <w:t>26. 不宜按专有面积84.52㎡、起诉状91.97㎡或“共有一半”自行重算物业费</w:t>
      </w:r>
    </w:p>
    <w:p>
      <w:pPr>
        <w:spacing w:line="360" w:lineRule="auto" w:before="0" w:after="0"/>
        <w:ind w:firstLine="629"/>
      </w:pPr>
      <w:r>
        <w:rPr>
          <w:rFonts w:ascii="仿宋_GB2312" w:hAnsi="仿宋_GB2312" w:eastAsia="仿宋_GB2312"/>
          <w:b w:val="0"/>
          <w:sz w:val="30"/>
        </w:rPr>
        <w:t>- 抗辩观点：当地规则以产权证记载的建筑面积计收，并非套内专有面积；D1的112.38㎡目前是最有力面积证据。</w:t>
      </w:r>
    </w:p>
    <w:p>
      <w:pPr>
        <w:spacing w:line="360" w:lineRule="auto" w:before="0" w:after="0"/>
        <w:ind w:firstLine="629"/>
      </w:pPr>
      <w:r>
        <w:rPr>
          <w:rFonts w:ascii="仿宋_GB2312" w:hAnsi="仿宋_GB2312" w:eastAsia="仿宋_GB2312"/>
          <w:b w:val="0"/>
          <w:sz w:val="30"/>
        </w:rPr>
        <w:t>- 事实和证据：D1记载建筑面积112.38㎡，其中专有84.52㎡、分摊27.86㎡；P1的91.97㎡没有来源。</w:t>
      </w:r>
    </w:p>
    <w:p>
      <w:pPr>
        <w:spacing w:line="360" w:lineRule="auto" w:before="0" w:after="0"/>
        <w:ind w:firstLine="629"/>
      </w:pPr>
      <w:r>
        <w:rPr>
          <w:rFonts w:ascii="仿宋_GB2312" w:hAnsi="仿宋_GB2312" w:eastAsia="仿宋_GB2312"/>
          <w:b w:val="0"/>
          <w:sz w:val="30"/>
        </w:rPr>
        <w:t>- 法律依据：2010年办法第18条、2022年办法第14条均规定按不动产权证记载建筑面积计收。[2010年湖南收费办法](https://www.hunan.gov.cn/xxgk/wjk/szbmwj/201006/t20100610_4884242.html)；[2022年湖南收费办法](https://fgw.hunan.gov.cn/fgw/xxgk_70899/c101588/c101602/202205/t20220507_24466789.html)</w:t>
      </w:r>
    </w:p>
    <w:p>
      <w:pPr>
        <w:spacing w:line="360" w:lineRule="auto" w:before="0" w:after="0"/>
        <w:ind w:firstLine="629"/>
      </w:pPr>
      <w:r>
        <w:rPr>
          <w:rFonts w:ascii="仿宋_GB2312" w:hAnsi="仿宋_GB2312" w:eastAsia="仿宋_GB2312"/>
          <w:b w:val="0"/>
          <w:sz w:val="30"/>
        </w:rPr>
        <w:t>- 实际作用：避免提出无依据的低面积方案；真正可争的是费率、期间、付款和服务，而非排除公摊。</w:t>
      </w:r>
    </w:p>
    <w:p>
      <w:pPr>
        <w:spacing w:line="360" w:lineRule="auto" w:before="0" w:after="0"/>
        <w:ind w:firstLine="629"/>
      </w:pPr>
      <w:r>
        <w:rPr>
          <w:rFonts w:ascii="仿宋_GB2312" w:hAnsi="仿宋_GB2312" w:eastAsia="仿宋_GB2312"/>
          <w:b w:val="0"/>
          <w:sz w:val="30"/>
        </w:rPr>
        <w:t>- 证据缺口与对方可能反驳：补完整产权证仅用于核对，不宜预期面积抗辩减费。</w:t>
      </w:r>
    </w:p>
    <w:p>
      <w:pPr>
        <w:spacing w:line="360" w:lineRule="auto" w:before="0" w:after="0"/>
        <w:ind w:firstLine="629"/>
      </w:pPr>
      <w:r>
        <w:rPr>
          <w:rFonts w:ascii="仿宋_GB2312" w:hAnsi="仿宋_GB2312" w:eastAsia="仿宋_GB2312"/>
          <w:b w:val="0"/>
          <w:sz w:val="30"/>
        </w:rPr>
        <w:t>- 优先级：当前不宜。</w:t>
      </w:r>
    </w:p>
    <w:p>
      <w:pPr>
        <w:spacing w:line="360" w:lineRule="auto" w:before="40" w:after="0"/>
      </w:pPr>
      <w:r>
        <w:rPr>
          <w:rFonts w:ascii="黑体" w:hAnsi="黑体" w:eastAsia="黑体"/>
          <w:b/>
          <w:sz w:val="30"/>
        </w:rPr>
        <w:t>27. 不宜仅因欠费起点距今超过三年就主张42个月全部超过时效</w:t>
      </w:r>
    </w:p>
    <w:p>
      <w:pPr>
        <w:spacing w:line="360" w:lineRule="auto" w:before="0" w:after="0"/>
        <w:ind w:firstLine="629"/>
      </w:pPr>
      <w:r>
        <w:rPr>
          <w:rFonts w:ascii="仿宋_GB2312" w:hAnsi="仿宋_GB2312" w:eastAsia="仿宋_GB2312"/>
          <w:b w:val="0"/>
          <w:sz w:val="30"/>
        </w:rPr>
        <w:t>- 抗辩观点：时效须结合立案日、到期方式、中断和第189条定性，不存在“第一期超过三年，全部自动过时效”的规则。</w:t>
      </w:r>
    </w:p>
    <w:p>
      <w:pPr>
        <w:spacing w:line="360" w:lineRule="auto" w:before="0" w:after="0"/>
        <w:ind w:firstLine="629"/>
      </w:pPr>
      <w:r>
        <w:rPr>
          <w:rFonts w:ascii="仿宋_GB2312" w:hAnsi="仿宋_GB2312" w:eastAsia="仿宋_GB2312"/>
          <w:b w:val="0"/>
          <w:sz w:val="30"/>
        </w:rPr>
        <w:t>- 事实和证据：P1期间至2026年6月30日；最后若干期显然距离当前不足三年；本诉立案日和中断记录未见。</w:t>
      </w:r>
    </w:p>
    <w:p>
      <w:pPr>
        <w:spacing w:line="360" w:lineRule="auto" w:before="0" w:after="0"/>
        <w:ind w:firstLine="629"/>
      </w:pPr>
      <w:r>
        <w:rPr>
          <w:rFonts w:ascii="仿宋_GB2312" w:hAnsi="仿宋_GB2312" w:eastAsia="仿宋_GB2312"/>
          <w:b w:val="0"/>
          <w:sz w:val="30"/>
        </w:rPr>
        <w:t>- 法律依据：《民法典》第188、189、195条。[民法典](https://www.court.gov.cn/zixun/xiangqing/233181.html)</w:t>
      </w:r>
    </w:p>
    <w:p>
      <w:pPr>
        <w:spacing w:line="360" w:lineRule="auto" w:before="0" w:after="0"/>
        <w:ind w:firstLine="629"/>
      </w:pPr>
      <w:r>
        <w:rPr>
          <w:rFonts w:ascii="仿宋_GB2312" w:hAnsi="仿宋_GB2312" w:eastAsia="仿宋_GB2312"/>
          <w:b w:val="0"/>
          <w:sz w:val="30"/>
        </w:rPr>
        <w:t>- 实际作用：只能保留最早部分的条件性抗辩，不能请求驳回全部本金。</w:t>
      </w:r>
    </w:p>
    <w:p>
      <w:pPr>
        <w:spacing w:line="360" w:lineRule="auto" w:before="0" w:after="0"/>
        <w:ind w:firstLine="629"/>
      </w:pPr>
      <w:r>
        <w:rPr>
          <w:rFonts w:ascii="仿宋_GB2312" w:hAnsi="仿宋_GB2312" w:eastAsia="仿宋_GB2312"/>
          <w:b w:val="0"/>
          <w:sz w:val="30"/>
        </w:rPr>
        <w:t>- 证据缺口与对方可能反驳：同第12项。</w:t>
      </w:r>
    </w:p>
    <w:p>
      <w:pPr>
        <w:spacing w:line="360" w:lineRule="auto" w:before="0" w:after="0"/>
        <w:ind w:firstLine="629"/>
      </w:pPr>
      <w:r>
        <w:rPr>
          <w:rFonts w:ascii="仿宋_GB2312" w:hAnsi="仿宋_GB2312" w:eastAsia="仿宋_GB2312"/>
          <w:b w:val="0"/>
          <w:sz w:val="30"/>
        </w:rPr>
        <w:t>- 优先级：当前不宜作绝对表述。</w:t>
      </w:r>
    </w:p>
    <w:p>
      <w:pPr>
        <w:spacing w:line="360" w:lineRule="auto" w:before="40" w:after="0"/>
      </w:pPr>
      <w:r>
        <w:rPr>
          <w:rFonts w:ascii="黑体" w:hAnsi="黑体" w:eastAsia="黑体"/>
          <w:b/>
          <w:sz w:val="30"/>
        </w:rPr>
        <w:t>28. 不宜主张“未庭前催告即永久免除本金”</w:t>
      </w:r>
    </w:p>
    <w:p>
      <w:pPr>
        <w:spacing w:line="360" w:lineRule="auto" w:before="0" w:after="0"/>
        <w:ind w:firstLine="629"/>
      </w:pPr>
      <w:r>
        <w:rPr>
          <w:rFonts w:ascii="仿宋_GB2312" w:hAnsi="仿宋_GB2312" w:eastAsia="仿宋_GB2312"/>
          <w:b w:val="0"/>
          <w:sz w:val="30"/>
        </w:rPr>
        <w:t>- 抗辩观点：催告缺失应具体影响起诉条件、到期、违约金和费用负担；并不当然消灭业主已经产生的合理物业费债务。</w:t>
      </w:r>
    </w:p>
    <w:p>
      <w:pPr>
        <w:spacing w:line="360" w:lineRule="auto" w:before="0" w:after="0"/>
        <w:ind w:firstLine="629"/>
      </w:pPr>
      <w:r>
        <w:rPr>
          <w:rFonts w:ascii="仿宋_GB2312" w:hAnsi="仿宋_GB2312" w:eastAsia="仿宋_GB2312"/>
          <w:b w:val="0"/>
          <w:sz w:val="30"/>
        </w:rPr>
        <w:t>- 事实和证据：现有P3不足，但法院可能把起诉状送达或庭审催告作为后续履行请求；具体法律后果存在裁判空间。</w:t>
      </w:r>
    </w:p>
    <w:p>
      <w:pPr>
        <w:spacing w:line="360" w:lineRule="auto" w:before="0" w:after="0"/>
        <w:ind w:firstLine="629"/>
      </w:pPr>
      <w:r>
        <w:rPr>
          <w:rFonts w:ascii="仿宋_GB2312" w:hAnsi="仿宋_GB2312" w:eastAsia="仿宋_GB2312"/>
          <w:b w:val="0"/>
          <w:sz w:val="30"/>
        </w:rPr>
        <w:t>- 法律依据：《民法典》第944条第二款。[民法典](https://www.court.gov.cn/zixun/xiangqing/233181.html)</w:t>
      </w:r>
    </w:p>
    <w:p>
      <w:pPr>
        <w:spacing w:line="360" w:lineRule="auto" w:before="0" w:after="0"/>
        <w:ind w:firstLine="629"/>
      </w:pPr>
      <w:r>
        <w:rPr>
          <w:rFonts w:ascii="仿宋_GB2312" w:hAnsi="仿宋_GB2312" w:eastAsia="仿宋_GB2312"/>
          <w:b w:val="0"/>
          <w:sz w:val="30"/>
        </w:rPr>
        <w:t>- 实际作用：绝对免责主张风险高；应采用第9项的限定表述。</w:t>
      </w:r>
    </w:p>
    <w:p>
      <w:pPr>
        <w:spacing w:line="360" w:lineRule="auto" w:before="0" w:after="0"/>
        <w:ind w:firstLine="629"/>
      </w:pPr>
      <w:r>
        <w:rPr>
          <w:rFonts w:ascii="仿宋_GB2312" w:hAnsi="仿宋_GB2312" w:eastAsia="仿宋_GB2312"/>
          <w:b w:val="0"/>
          <w:sz w:val="30"/>
        </w:rPr>
        <w:t>- 证据缺口与对方可能反驳：核实所有催告后再判断。</w:t>
      </w:r>
    </w:p>
    <w:p>
      <w:pPr>
        <w:spacing w:line="360" w:lineRule="auto" w:before="0" w:after="0"/>
        <w:ind w:firstLine="629"/>
      </w:pPr>
      <w:r>
        <w:rPr>
          <w:rFonts w:ascii="仿宋_GB2312" w:hAnsi="仿宋_GB2312" w:eastAsia="仿宋_GB2312"/>
          <w:b w:val="0"/>
          <w:sz w:val="30"/>
        </w:rPr>
        <w:t>- 优先级：当前不宜。</w:t>
      </w:r>
    </w:p>
    <w:p>
      <w:pPr>
        <w:spacing w:line="360" w:lineRule="auto" w:before="40" w:after="0"/>
      </w:pPr>
      <w:r>
        <w:rPr>
          <w:rFonts w:ascii="黑体" w:hAnsi="黑体" w:eastAsia="黑体"/>
          <w:b/>
          <w:sz w:val="30"/>
        </w:rPr>
        <w:t>29. 不宜主张“格式合同未加粗，所以整份协议无效”</w:t>
      </w:r>
    </w:p>
    <w:p>
      <w:pPr>
        <w:spacing w:line="360" w:lineRule="auto" w:before="0" w:after="0"/>
        <w:ind w:firstLine="629"/>
      </w:pPr>
      <w:r>
        <w:rPr>
          <w:rFonts w:ascii="仿宋_GB2312" w:hAnsi="仿宋_GB2312" w:eastAsia="仿宋_GB2312"/>
          <w:b w:val="0"/>
          <w:sz w:val="30"/>
        </w:rPr>
        <w:t>- 抗辩观点：格式条款须逐条审查；未提示说明通常导致特定异常条款不成为合同内容，不当然导致整份协议无效；无效也限于不合理免责、加责、限权或排权部分。</w:t>
      </w:r>
    </w:p>
    <w:p>
      <w:pPr>
        <w:spacing w:line="360" w:lineRule="auto" w:before="0" w:after="0"/>
        <w:ind w:firstLine="629"/>
      </w:pPr>
      <w:r>
        <w:rPr>
          <w:rFonts w:ascii="仿宋_GB2312" w:hAnsi="仿宋_GB2312" w:eastAsia="仿宋_GB2312"/>
          <w:b w:val="0"/>
          <w:sz w:val="30"/>
        </w:rPr>
        <w:t>- 事实和证据：P2既含费率、服务等一般条款，也含日5‰、拟制送达、律师费、访客责任和广泛免责等不同性质条款。</w:t>
      </w:r>
    </w:p>
    <w:p>
      <w:pPr>
        <w:spacing w:line="360" w:lineRule="auto" w:before="0" w:after="0"/>
        <w:ind w:firstLine="629"/>
      </w:pPr>
      <w:r>
        <w:rPr>
          <w:rFonts w:ascii="仿宋_GB2312" w:hAnsi="仿宋_GB2312" w:eastAsia="仿宋_GB2312"/>
          <w:b w:val="0"/>
          <w:sz w:val="30"/>
        </w:rPr>
        <w:t>- 法律依据：《民法典》第156、496—498条；合同编通则司法解释第9、10条。[民法典](https://www.court.gov.cn/zixun/xiangqing/233181.html)；[合同编通则司法解释](https://www.court.gov.cn/zixun/xiangqing/419382.html)</w:t>
      </w:r>
    </w:p>
    <w:p>
      <w:pPr>
        <w:spacing w:line="360" w:lineRule="auto" w:before="0" w:after="0"/>
        <w:ind w:firstLine="629"/>
      </w:pPr>
      <w:r>
        <w:rPr>
          <w:rFonts w:ascii="仿宋_GB2312" w:hAnsi="仿宋_GB2312" w:eastAsia="仿宋_GB2312"/>
          <w:b w:val="0"/>
          <w:sz w:val="30"/>
        </w:rPr>
        <w:t>- 实际作用：逐条主张更容易被法院采纳，并保住对违约金、送达和免责条款的精准攻击。</w:t>
      </w:r>
    </w:p>
    <w:p>
      <w:pPr>
        <w:spacing w:line="360" w:lineRule="auto" w:before="0" w:after="0"/>
        <w:ind w:firstLine="629"/>
      </w:pPr>
      <w:r>
        <w:rPr>
          <w:rFonts w:ascii="仿宋_GB2312" w:hAnsi="仿宋_GB2312" w:eastAsia="仿宋_GB2312"/>
          <w:b w:val="0"/>
          <w:sz w:val="30"/>
        </w:rPr>
        <w:t>- 证据缺口与对方可能反驳：补签约展示、说明证据；律师朋友参与只是一个因素，不是物业当然免责。</w:t>
      </w:r>
    </w:p>
    <w:p>
      <w:pPr>
        <w:spacing w:line="360" w:lineRule="auto" w:before="0" w:after="0"/>
        <w:ind w:firstLine="629"/>
      </w:pPr>
      <w:r>
        <w:rPr>
          <w:rFonts w:ascii="仿宋_GB2312" w:hAnsi="仿宋_GB2312" w:eastAsia="仿宋_GB2312"/>
          <w:b w:val="0"/>
          <w:sz w:val="30"/>
        </w:rPr>
        <w:t>- 优先级：当前不宜作整体无效表述。</w:t>
      </w:r>
    </w:p>
    <w:p>
      <w:pPr>
        <w:spacing w:line="360" w:lineRule="auto" w:before="40" w:after="0"/>
      </w:pPr>
      <w:r>
        <w:rPr>
          <w:rFonts w:ascii="黑体" w:hAnsi="黑体" w:eastAsia="黑体"/>
          <w:b/>
          <w:sz w:val="30"/>
        </w:rPr>
        <w:t>30. 不宜直接套用2025年长沙空置房优惠规则</w:t>
      </w:r>
    </w:p>
    <w:p>
      <w:pPr>
        <w:spacing w:line="360" w:lineRule="auto" w:before="0" w:after="0"/>
        <w:ind w:firstLine="629"/>
      </w:pPr>
      <w:r>
        <w:rPr>
          <w:rFonts w:ascii="仿宋_GB2312" w:hAnsi="仿宋_GB2312" w:eastAsia="仿宋_GB2312"/>
          <w:b w:val="0"/>
          <w:sz w:val="30"/>
        </w:rPr>
        <w:t>- 抗辩观点：2025年3月1日起长沙新规的70%/90%阶梯优惠有严格的“空置房”定义、报告/登记条件及新旧合同衔接，不能当然追溯适用于本案全部期间。</w:t>
      </w:r>
    </w:p>
    <w:p>
      <w:pPr>
        <w:spacing w:line="360" w:lineRule="auto" w:before="0" w:after="0"/>
        <w:ind w:firstLine="629"/>
      </w:pPr>
      <w:r>
        <w:rPr>
          <w:rFonts w:ascii="仿宋_GB2312" w:hAnsi="仿宋_GB2312" w:eastAsia="仿宋_GB2312"/>
          <w:b w:val="0"/>
          <w:sz w:val="30"/>
        </w:rPr>
        <w:t>- 事实和证据：当前没有房屋持续空置、水电气记录、书面报告或物业登记；P3反而显示此前持续缴费。基础合同是否在2025年仍未到期也待查。</w:t>
      </w:r>
    </w:p>
    <w:p>
      <w:pPr>
        <w:spacing w:line="360" w:lineRule="auto" w:before="0" w:after="0"/>
        <w:ind w:firstLine="629"/>
      </w:pPr>
      <w:r>
        <w:rPr>
          <w:rFonts w:ascii="仿宋_GB2312" w:hAnsi="仿宋_GB2312" w:eastAsia="仿宋_GB2312"/>
          <w:b w:val="0"/>
          <w:sz w:val="30"/>
        </w:rPr>
        <w:t>- 法律依据：长发改价调〔2025〕8号第7、8项及施行/衔接规定。[湖南省政府：长沙市普通商品住宅物业服务收费通知](https://www.hunan.gov.cn/zqt/zcsd/202503/t20250307_33605632.html)</w:t>
      </w:r>
    </w:p>
    <w:p>
      <w:pPr>
        <w:spacing w:line="360" w:lineRule="auto" w:before="0" w:after="0"/>
        <w:ind w:firstLine="629"/>
      </w:pPr>
      <w:r>
        <w:rPr>
          <w:rFonts w:ascii="仿宋_GB2312" w:hAnsi="仿宋_GB2312" w:eastAsia="仿宋_GB2312"/>
          <w:b w:val="0"/>
          <w:sz w:val="30"/>
        </w:rPr>
        <w:t>- 实际作用：现阶段不能据此直接按70%或90%核减；符合条件并补证后才计算相应期间。</w:t>
      </w:r>
    </w:p>
    <w:p>
      <w:pPr>
        <w:spacing w:line="360" w:lineRule="auto" w:before="0" w:after="0"/>
        <w:ind w:firstLine="629"/>
      </w:pPr>
      <w:r>
        <w:rPr>
          <w:rFonts w:ascii="仿宋_GB2312" w:hAnsi="仿宋_GB2312" w:eastAsia="仿宋_GB2312"/>
          <w:b w:val="0"/>
          <w:sz w:val="30"/>
        </w:rPr>
        <w:t>- 证据缺口与对方可能反驳：空置事实、书面报备、登记确认、新旧合同状态。</w:t>
      </w:r>
    </w:p>
    <w:p>
      <w:pPr>
        <w:spacing w:line="360" w:lineRule="auto" w:before="0" w:after="0"/>
        <w:ind w:firstLine="629"/>
      </w:pPr>
      <w:r>
        <w:rPr>
          <w:rFonts w:ascii="仿宋_GB2312" w:hAnsi="仿宋_GB2312" w:eastAsia="仿宋_GB2312"/>
          <w:b w:val="0"/>
          <w:sz w:val="30"/>
        </w:rPr>
        <w:t>- 优先级：当前不宜。</w:t>
      </w:r>
    </w:p>
    <w:p>
      <w:pPr>
        <w:spacing w:line="360" w:lineRule="auto" w:before="40" w:after="0"/>
      </w:pPr>
      <w:r>
        <w:rPr>
          <w:rFonts w:ascii="黑体" w:hAnsi="黑体" w:eastAsia="黑体"/>
          <w:b/>
          <w:sz w:val="30"/>
        </w:rPr>
        <w:t>31. 不宜主张本案与27046号案构成重复起诉，或只因存在二审就当然中止</w:t>
      </w:r>
    </w:p>
    <w:p>
      <w:pPr>
        <w:spacing w:line="360" w:lineRule="auto" w:before="0" w:after="0"/>
        <w:ind w:firstLine="629"/>
      </w:pPr>
      <w:r>
        <w:rPr>
          <w:rFonts w:ascii="仿宋_GB2312" w:hAnsi="仿宋_GB2312" w:eastAsia="仿宋_GB2312"/>
          <w:b w:val="0"/>
          <w:sz w:val="30"/>
        </w:rPr>
        <w:t>- 抗辩观点：27046号案请求确认建设单位与物业之间基础合同无效，本案请求李国平支付具体物业费，当事人、诉讼请求和诉讼标的并不完全相同，通常不构成重复起诉。中止必须达到本案“必须以”另案结果为依据且另案未结的程度。</w:t>
      </w:r>
    </w:p>
    <w:p>
      <w:pPr>
        <w:spacing w:line="360" w:lineRule="auto" w:before="0" w:after="0"/>
        <w:ind w:firstLine="629"/>
      </w:pPr>
      <w:r>
        <w:rPr>
          <w:rFonts w:ascii="仿宋_GB2312" w:hAnsi="仿宋_GB2312" w:eastAsia="仿宋_GB2312"/>
          <w:b w:val="0"/>
          <w:sz w:val="30"/>
        </w:rPr>
        <w:t>- 事实和证据：A1、A3显示27046号一审已判、存在上诉状线索，但未找到二审受理及终审文书。本案法院可以把基础合同效力作为先决问题自行审查，未必必须等待二审。</w:t>
      </w:r>
    </w:p>
    <w:p>
      <w:pPr>
        <w:spacing w:line="360" w:lineRule="auto" w:before="0" w:after="0"/>
        <w:ind w:firstLine="629"/>
      </w:pPr>
      <w:r>
        <w:rPr>
          <w:rFonts w:ascii="仿宋_GB2312" w:hAnsi="仿宋_GB2312" w:eastAsia="仿宋_GB2312"/>
          <w:b w:val="0"/>
          <w:sz w:val="30"/>
        </w:rPr>
        <w:t>- 法律依据：《民事诉讼法》第153条第（五）项；《民事诉讼法解释》第247条关于重复诉讼。[现行民事诉讼法全文](https://www.gzhzcourt.gov.cn/upload/editor/file/2025/08/04/6388989731436328121054632.pdf)；[民事诉讼法解释](https://wb.flk.npc.gov.cn/sfjs/texthtml/0d431c40e88f4a9fac8c4d1dbbefa934.html)</w:t>
      </w:r>
    </w:p>
    <w:p>
      <w:pPr>
        <w:spacing w:line="360" w:lineRule="auto" w:before="0" w:after="0"/>
        <w:ind w:firstLine="629"/>
      </w:pPr>
      <w:r>
        <w:rPr>
          <w:rFonts w:ascii="仿宋_GB2312" w:hAnsi="仿宋_GB2312" w:eastAsia="仿宋_GB2312"/>
          <w:b w:val="0"/>
          <w:sz w:val="30"/>
        </w:rPr>
        <w:t>- 实际作用：取得民事二审受理材料并证明效力结论确为本案不可回避前提后，可以申请关联审理或中止；现阶段“当然中止”胜算不高。</w:t>
      </w:r>
    </w:p>
    <w:p>
      <w:pPr>
        <w:spacing w:line="360" w:lineRule="auto" w:before="0" w:after="0"/>
        <w:ind w:firstLine="629"/>
      </w:pPr>
      <w:r>
        <w:rPr>
          <w:rFonts w:ascii="仿宋_GB2312" w:hAnsi="仿宋_GB2312" w:eastAsia="仿宋_GB2312"/>
          <w:b w:val="0"/>
          <w:sz w:val="30"/>
        </w:rPr>
        <w:t>- 证据缺口与对方可能反驳：补二审案号、受理、审理进度和争议范围。</w:t>
      </w:r>
    </w:p>
    <w:p>
      <w:pPr>
        <w:spacing w:line="360" w:lineRule="auto" w:before="0" w:after="0"/>
        <w:ind w:firstLine="629"/>
      </w:pPr>
      <w:r>
        <w:rPr>
          <w:rFonts w:ascii="仿宋_GB2312" w:hAnsi="仿宋_GB2312" w:eastAsia="仿宋_GB2312"/>
          <w:b w:val="0"/>
          <w:sz w:val="30"/>
        </w:rPr>
        <w:t>- 优先级：当前不宜作绝对请求。</w:t>
      </w:r>
    </w:p>
    <w:p>
      <w:pPr>
        <w:spacing w:line="360" w:lineRule="auto" w:before="40" w:after="0"/>
      </w:pPr>
      <w:r>
        <w:rPr>
          <w:rFonts w:ascii="黑体" w:hAnsi="黑体" w:eastAsia="黑体"/>
          <w:b/>
          <w:sz w:val="30"/>
        </w:rPr>
        <w:t>32. 不宜仅以总公司中标、分公司签约或名称变化主张现原告绝对无收费权</w:t>
      </w:r>
    </w:p>
    <w:p>
      <w:pPr>
        <w:spacing w:line="360" w:lineRule="auto" w:before="0" w:after="0"/>
        <w:ind w:firstLine="629"/>
      </w:pPr>
      <w:r>
        <w:rPr>
          <w:rFonts w:ascii="仿宋_GB2312" w:hAnsi="仿宋_GB2312" w:eastAsia="仿宋_GB2312"/>
          <w:b w:val="0"/>
          <w:sz w:val="30"/>
        </w:rPr>
        <w:t>- 抗辩观点：可要求原告提交主体及授权链，但现有材料已较强地支持旧公司与现原告的名称沿革及分支关系，不能无视不利证据。</w:t>
      </w:r>
    </w:p>
    <w:p>
      <w:pPr>
        <w:spacing w:line="360" w:lineRule="auto" w:before="0" w:after="0"/>
        <w:ind w:firstLine="629"/>
      </w:pPr>
      <w:r>
        <w:rPr>
          <w:rFonts w:ascii="仿宋_GB2312" w:hAnsi="仿宋_GB2312" w:eastAsia="仿宋_GB2312"/>
          <w:b w:val="0"/>
          <w:sz w:val="30"/>
        </w:rPr>
        <w:t>- 事实和证据：D4中标人为中铁建（北京）物业管理有限公司，D2签约人为其长沙分公司；A4第11页查明总公司和分公司于2018年同步更名，长沙分公司统一社会信用代码为91430105597559754W；A4第12—13页及A1第13—14页均作出有利物业的授权/分公司经营判断，虽生效状态和裁判对象仍需核查。</w:t>
      </w:r>
    </w:p>
    <w:p>
      <w:pPr>
        <w:spacing w:line="360" w:lineRule="auto" w:before="0" w:after="0"/>
        <w:ind w:firstLine="629"/>
      </w:pPr>
      <w:r>
        <w:rPr>
          <w:rFonts w:ascii="仿宋_GB2312" w:hAnsi="仿宋_GB2312" w:eastAsia="仿宋_GB2312"/>
          <w:b w:val="0"/>
          <w:sz w:val="30"/>
        </w:rPr>
        <w:t>- 法律依据：《民法典》第74条规定分支机构民事责任原则上由法人承担；《民事诉讼法》第51条允许依法设立的其他组织作为当事人。[民法典第74条](https://www.court.gov.cn/zixun/xiangqing/233181.html)；[现行民事诉讼法](https://www.gzhzcourt.gov.cn/upload/editor/file/2025/08/04/6388989731436328121054632.pdf)</w:t>
      </w:r>
    </w:p>
    <w:p>
      <w:pPr>
        <w:spacing w:line="360" w:lineRule="auto" w:before="0" w:after="0"/>
        <w:ind w:firstLine="629"/>
      </w:pPr>
      <w:r>
        <w:rPr>
          <w:rFonts w:ascii="仿宋_GB2312" w:hAnsi="仿宋_GB2312" w:eastAsia="仿宋_GB2312"/>
          <w:b w:val="0"/>
          <w:sz w:val="30"/>
        </w:rPr>
        <w:t>- 实际作用：目前更适合作为要求营业执照、名称变更和收费授权的核查点，而非驳回全部诉请的主攻。</w:t>
      </w:r>
    </w:p>
    <w:p>
      <w:pPr>
        <w:spacing w:line="360" w:lineRule="auto" w:before="0" w:after="0"/>
        <w:ind w:firstLine="629"/>
      </w:pPr>
      <w:r>
        <w:rPr>
          <w:rFonts w:ascii="仿宋_GB2312" w:hAnsi="仿宋_GB2312" w:eastAsia="仿宋_GB2312"/>
          <w:b w:val="0"/>
          <w:sz w:val="30"/>
        </w:rPr>
        <w:t>- 证据缺口与对方可能反驳：补现行营业执照、负责人证明、总公司授权及债权归属；如统一代码一致，名称变化通常不切断主体同一性。</w:t>
      </w:r>
    </w:p>
    <w:p>
      <w:pPr>
        <w:spacing w:line="360" w:lineRule="auto" w:before="0" w:after="0"/>
        <w:ind w:firstLine="629"/>
      </w:pPr>
      <w:r>
        <w:rPr>
          <w:rFonts w:ascii="仿宋_GB2312" w:hAnsi="仿宋_GB2312" w:eastAsia="仿宋_GB2312"/>
          <w:b w:val="0"/>
          <w:sz w:val="30"/>
        </w:rPr>
        <w:t>- 优先级：低，当前不宜主攻。</w:t>
      </w:r>
    </w:p>
    <w:p>
      <w:pPr>
        <w:spacing w:line="360" w:lineRule="auto" w:before="40" w:after="0"/>
      </w:pPr>
      <w:r>
        <w:rPr>
          <w:rFonts w:ascii="黑体" w:hAnsi="黑体" w:eastAsia="黑体"/>
          <w:b/>
          <w:sz w:val="30"/>
        </w:rPr>
        <w:t>33. 不宜以公共收益金额不明为由直接抵销物业费</w:t>
      </w:r>
    </w:p>
    <w:p>
      <w:pPr>
        <w:spacing w:line="360" w:lineRule="auto" w:before="0" w:after="0"/>
        <w:ind w:firstLine="629"/>
      </w:pPr>
      <w:r>
        <w:rPr>
          <w:rFonts w:ascii="仿宋_GB2312" w:hAnsi="仿宋_GB2312" w:eastAsia="仿宋_GB2312"/>
          <w:b w:val="0"/>
          <w:sz w:val="30"/>
        </w:rPr>
        <w:t>- 抗辩观点：P2中“共有收益均由物业支配”可被逐条审查，但未查清共有收益总额、成本、分配决定和李国平可请求份额前，不能自行用一个估算额抵销本案物业费。</w:t>
      </w:r>
    </w:p>
    <w:p>
      <w:pPr>
        <w:spacing w:line="360" w:lineRule="auto" w:before="0" w:after="0"/>
        <w:ind w:firstLine="629"/>
      </w:pPr>
      <w:r>
        <w:rPr>
          <w:rFonts w:ascii="仿宋_GB2312" w:hAnsi="仿宋_GB2312" w:eastAsia="仿宋_GB2312"/>
          <w:b w:val="0"/>
          <w:sz w:val="30"/>
        </w:rPr>
        <w:t>- 事实和证据：P2第2—3页、第9页约定共有部分经营及收益由物业支配；没有收益账簿、公示、业主大会决定和个人份额证据。</w:t>
      </w:r>
    </w:p>
    <w:p>
      <w:pPr>
        <w:spacing w:line="360" w:lineRule="auto" w:before="0" w:after="0"/>
        <w:ind w:firstLine="629"/>
      </w:pPr>
      <w:r>
        <w:rPr>
          <w:rFonts w:ascii="仿宋_GB2312" w:hAnsi="仿宋_GB2312" w:eastAsia="仿宋_GB2312"/>
          <w:b w:val="0"/>
          <w:sz w:val="30"/>
        </w:rPr>
        <w:t>- 法律依据：《民法典》第282、943条关于共有部分收入和公开义务，第568条以下关于法定抵销须具备相互到期同种债务等条件。[民法典](https://www.court.gov.cn/zixun/xiangqing/233181.html)</w:t>
      </w:r>
    </w:p>
    <w:p>
      <w:pPr>
        <w:spacing w:line="360" w:lineRule="auto" w:before="0" w:after="0"/>
        <w:ind w:firstLine="629"/>
      </w:pPr>
      <w:r>
        <w:rPr>
          <w:rFonts w:ascii="仿宋_GB2312" w:hAnsi="仿宋_GB2312" w:eastAsia="仿宋_GB2312"/>
          <w:b w:val="0"/>
          <w:sz w:val="30"/>
        </w:rPr>
        <w:t>- 实际作用：可申请公开/提出书证；不能现阶段作为具体金额减项或反诉返还金额。</w:t>
      </w:r>
    </w:p>
    <w:p>
      <w:pPr>
        <w:spacing w:line="360" w:lineRule="auto" w:before="0" w:after="0"/>
        <w:ind w:firstLine="629"/>
      </w:pPr>
      <w:r>
        <w:rPr>
          <w:rFonts w:ascii="仿宋_GB2312" w:hAnsi="仿宋_GB2312" w:eastAsia="仿宋_GB2312"/>
          <w:b w:val="0"/>
          <w:sz w:val="30"/>
        </w:rPr>
        <w:t>- 证据缺口与对方可能反驳：调公共收益合同、账户、成本、税费、公示和业主决定，查明个人请求权基础后另行评估。</w:t>
      </w:r>
    </w:p>
    <w:p>
      <w:pPr>
        <w:spacing w:line="360" w:lineRule="auto" w:before="0" w:after="0"/>
        <w:ind w:firstLine="629"/>
      </w:pPr>
      <w:r>
        <w:rPr>
          <w:rFonts w:ascii="仿宋_GB2312" w:hAnsi="仿宋_GB2312" w:eastAsia="仿宋_GB2312"/>
          <w:b w:val="0"/>
          <w:sz w:val="30"/>
        </w:rPr>
        <w:t>- 优先级：低，当前不宜直接抵销。</w:t>
      </w:r>
    </w:p>
    <w:p>
      <w:pPr>
        <w:spacing w:line="360" w:lineRule="auto" w:before="40" w:after="0"/>
      </w:pPr>
      <w:r>
        <w:rPr>
          <w:rFonts w:ascii="黑体" w:hAnsi="黑体" w:eastAsia="黑体"/>
          <w:b/>
          <w:sz w:val="30"/>
        </w:rPr>
        <w:t>五、开庭前最值得完成的五项补证或程序动作</w:t>
      </w:r>
    </w:p>
    <w:p>
      <w:pPr>
        <w:spacing w:line="360" w:lineRule="auto" w:before="0" w:after="0"/>
        <w:ind w:firstLine="629"/>
      </w:pPr>
      <w:r>
        <w:rPr>
          <w:rFonts w:ascii="仿宋_GB2312" w:hAnsi="仿宋_GB2312" w:eastAsia="仿宋_GB2312"/>
          <w:b w:val="0"/>
          <w:sz w:val="30"/>
        </w:rPr>
        <w:t>1. 当天核对本诉程序文书并锁死期限：取得传票、受理通知、举证通知、送达记录，确认案号、审理程序、立案日、开庭时间、举证期限及反诉期限。没有这些信息，时效、证人、书证提出命令和反诉都无法安全安排。</w:t>
      </w:r>
    </w:p>
    <w:p>
      <w:pPr>
        <w:spacing w:line="360" w:lineRule="auto" w:before="0" w:after="0"/>
        <w:ind w:firstLine="629"/>
      </w:pPr>
      <w:r>
        <w:rPr>
          <w:rFonts w:ascii="仿宋_GB2312" w:hAnsi="仿宋_GB2312" w:eastAsia="仿宋_GB2312"/>
          <w:b w:val="0"/>
          <w:sz w:val="30"/>
        </w:rPr>
        <w:t>2. 在举证期限内提交精确的书证提出命令申请：要求原告提交个人协议原件；基础合同全部版本、附件和区域图；价格核定/登记；2023—2026逐期账、已付款及核销；全部催告；服务、天台巡查、维修、警示和公示记录。依据《民事证据规定》第45—48、95条，明确每项书证、控制理由和待证事实；无正当理由拒交时请求不利认定。[民事证据规定](https://www.court.gov.cn/zixun/xiangqing/212721.html)</w:t>
      </w:r>
    </w:p>
    <w:p>
      <w:pPr>
        <w:spacing w:line="360" w:lineRule="auto" w:before="0" w:after="0"/>
        <w:ind w:firstLine="629"/>
      </w:pPr>
      <w:r>
        <w:rPr>
          <w:rFonts w:ascii="仿宋_GB2312" w:hAnsi="仿宋_GB2312" w:eastAsia="仿宋_GB2312"/>
          <w:b w:val="0"/>
          <w:sz w:val="30"/>
        </w:rPr>
        <w:t>3. 把代签事实做成可质证证据：由同行律师朋友写明到场目的、授权范围、李国平拒签原话、物业经办人反应、最终签的是谁的姓名及李国平是否同意，并申请其出庭；同步寻找交房录像、签到、入伙通知、同期投诉和聊天。若双方承认朋友代签，不申请“是否李国平亲笔”的无意义鉴定；若物业坚持本人签署，先出示原件，再在法院指定期间申请笔迹鉴定。</w:t>
      </w:r>
    </w:p>
    <w:p>
      <w:pPr>
        <w:spacing w:line="360" w:lineRule="auto" w:before="0" w:after="0"/>
        <w:ind w:firstLine="629"/>
      </w:pPr>
      <w:r>
        <w:rPr>
          <w:rFonts w:ascii="仿宋_GB2312" w:hAnsi="仿宋_GB2312" w:eastAsia="仿宋_GB2312"/>
          <w:b w:val="0"/>
          <w:sz w:val="30"/>
        </w:rPr>
        <w:t>4. 立即保全天台证据并通知物业留存记录：导出原始群聊和群成员列表，固定物业人员身份及回复；拍摄缺陷、通行条件、无警示/围挡、维修前后状态；收集受伤人证言、病历票据；书面要求物业保全并提交每周巡查、季度屋面检查、工单和监控。必要时申请现场勘验，但应先确认缺陷仍存在且勘验能解决争点。</w:t>
      </w:r>
    </w:p>
    <w:p>
      <w:pPr>
        <w:spacing w:line="360" w:lineRule="auto" w:before="0" w:after="0"/>
        <w:ind w:firstLine="629"/>
      </w:pPr>
      <w:r>
        <w:rPr>
          <w:rFonts w:ascii="仿宋_GB2312" w:hAnsi="仿宋_GB2312" w:eastAsia="仿宋_GB2312"/>
          <w:b w:val="0"/>
          <w:sz w:val="30"/>
        </w:rPr>
        <w:t>5. 补齐两条决定性外部证据链：一是取得用户所称2016年5月31日完整合同、行政案来源章和信息公开答复原件，与8月31日合同逐页比对；二是取得27046号民事二审受理通知、案号、进度和终审文书。前者决定版本/招投标抗辩能走多远，后者决定基础合同效力抗辩、反诉重复和中止申请如何表述。</w:t>
      </w:r>
    </w:p>
    <w:p>
      <w:pPr>
        <w:spacing w:line="360" w:lineRule="auto" w:before="40" w:after="0"/>
      </w:pPr>
      <w:r>
        <w:rPr>
          <w:rFonts w:ascii="黑体" w:hAnsi="黑体" w:eastAsia="黑体"/>
          <w:b/>
          <w:sz w:val="30"/>
        </w:rPr>
        <w:t>六、庭审表达顺序建议</w:t>
      </w:r>
    </w:p>
    <w:p>
      <w:pPr>
        <w:spacing w:line="360" w:lineRule="auto" w:before="0" w:after="0"/>
        <w:ind w:firstLine="629"/>
      </w:pPr>
      <w:r>
        <w:rPr>
          <w:rFonts w:ascii="仿宋_GB2312" w:hAnsi="仿宋_GB2312" w:eastAsia="仿宋_GB2312"/>
          <w:b w:val="0"/>
          <w:sz w:val="30"/>
        </w:rPr>
        <w:t>先说“原告尚未证明这笔10,384.08元具体债权”，再依次说签署归属、区域与版本、费率和账目、催告与时效，最后才说招投标效力；天台问题作为有证据后的备位减费抗辩。不要把全案押在“关联招标即恶意串通、合同无效、费用为零”这一条链上。</w:t>
      </w:r>
    </w:p>
    <w:sectPr w:rsidR="00FC693F" w:rsidRPr="0006063C" w:rsidSect="00034616">
      <w:footerReference w:type="default" r:id="rId9"/>
      <w:pgSz w:w="11906" w:h="16838"/>
      <w:pgMar w:top="1587" w:right="1587" w:bottom="1417" w:left="1701" w:header="72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r>
      <w:rPr>
        <w:rFonts w:ascii="宋体" w:hAnsi="宋体" w:eastAsia="宋体"/>
        <w:b w:val="0"/>
        <w:sz w:val="21"/>
      </w:rPr>
      <w:fldChar w:fldCharType="begin"/>
      <w:instrText xml:space="preserve">PAGE</w:instrText>
      <w:fldChar w:fldCharType="separate"/>
      <w:t>1</w:t>
      <w:fldChar w:fldCharType="end"/>
    </w:r>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仿宋_GB2312" w:hAnsi="仿宋_GB2312" w:eastAsia="仿宋_GB2312"/>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