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60" w:before="120" w:after="200"/>
        <w:jc w:val="center"/>
      </w:pPr>
      <w:r>
        <w:rPr>
          <w:rFonts w:ascii="宋体" w:hAnsi="宋体" w:eastAsia="宋体" w:cs="宋体"/>
          <w:b/>
          <w:sz w:val="44"/>
        </w:rPr>
        <w:t>反诉必要性再评估</w:t>
      </w:r>
    </w:p>
    <w:p>
      <w:pPr>
        <w:spacing w:lineRule="exact" w:line="560" w:before="0" w:after="280"/>
        <w:jc w:val="center"/>
      </w:pPr>
      <w:r>
        <w:rPr>
          <w:rFonts w:ascii="仿宋" w:hAnsi="仿宋" w:eastAsia="仿宋" w:cs="仿宋"/>
          <w:b w:val="0"/>
          <w:sz w:val="26"/>
        </w:rPr>
        <w:t>内部审阅·不提交法院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评估日期：</w:t>
      </w:r>
      <w:r>
        <w:rPr>
          <w:rFonts w:ascii="仿宋" w:hAnsi="仿宋" w:eastAsia="仿宋" w:cs="仿宋"/>
          <w:b w:val="0"/>
          <w:sz w:val="30"/>
        </w:rPr>
        <w:t xml:space="preserve"> 2026年9月10日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前次评估：</w:t>
      </w:r>
      <w:r>
        <w:rPr>
          <w:rFonts w:ascii="仿宋" w:hAnsi="仿宋" w:eastAsia="仿宋" w:cs="仿宋"/>
          <w:b w:val="0"/>
          <w:sz w:val="30"/>
        </w:rPr>
        <w:t xml:space="preserve"> 2026年9月2日《反诉必要性专项评估》，结论为"当前不建议提出反诉"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本次触发原因：</w:t>
      </w:r>
      <w:r>
        <w:rPr>
          <w:rFonts w:ascii="仿宋" w:hAnsi="仿宋" w:eastAsia="仿宋" w:cs="仿宋"/>
          <w:b w:val="0"/>
          <w:sz w:val="30"/>
        </w:rPr>
        <w:t xml:space="preserve"> 2026年9月核出的新事实；以及27046号案二审程序已启动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使用范围：</w:t>
      </w:r>
      <w:r>
        <w:rPr>
          <w:rFonts w:ascii="仿宋" w:hAnsi="仿宋" w:eastAsia="仿宋" w:cs="仿宋"/>
          <w:b w:val="0"/>
          <w:sz w:val="30"/>
        </w:rPr>
        <w:t xml:space="preserve"> 内部审阅，不提交法院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结论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维持不建议反诉。且新发现不仅未削弱该结论，反而进一步强化。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一、决定性理由：抗辩与反诉的举证责任方向相反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这是全部分析中最重要的一点。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910"/>
        <w:gridCol w:w="2910"/>
        <w:gridCol w:w="2910"/>
      </w:tblGrid>
      <w:tr>
        <w:tc>
          <w:tcPr>
            <w:tcW w:type="dxa" w:w="2910"/>
          </w:tcPr>
          <w:p>
            <w:pPr>
              <w:spacing w:lineRule="auto" w:line="240" w:before="20" w:after="20"/>
            </w:pPr>
            <w:r/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作为抗辩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作为反诉</w:t>
            </w:r>
          </w:p>
        </w:tc>
      </w:tr>
      <w:tr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协议是否成立、签名是否本人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原告须证明"成立"；被告只需</w:t>
            </w:r>
            <w:r>
              <w:rPr>
                <w:rFonts w:ascii="仿宋" w:hAnsi="仿宋" w:eastAsia="仿宋" w:cs="仿宋"/>
                <w:b/>
                <w:sz w:val="21"/>
              </w:rPr>
              <w:t>否认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被告须证明"不成立／无效"</w:t>
            </w:r>
          </w:p>
        </w:tc>
      </w:tr>
      <w:tr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基础合同的内容与范围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原告须证明；未提交即举证不能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被告须证明其无效</w:t>
            </w:r>
          </w:p>
        </w:tc>
      </w:tr>
      <w:tr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格式条款是否成为合同内容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原告须证明已尽提示说明义务（《民法典》第496条第2款）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被告须证明条款无效</w:t>
            </w:r>
          </w:p>
        </w:tc>
      </w:tr>
      <w:tr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收费标准是否合法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原告须证明价格依据</w:t>
            </w:r>
          </w:p>
        </w:tc>
        <w:tc>
          <w:tcPr>
            <w:tcW w:type="dxa" w:w="2910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被告须证明其违法</w:t>
            </w:r>
          </w:p>
        </w:tc>
      </w:tr>
    </w:tbl>
    <w:p/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同一组事实，作为抗辩时由原告举证，作为反诉时由被告举证。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而本案被告手上恰恰</w:t>
      </w:r>
      <w:r>
        <w:rPr>
          <w:rFonts w:ascii="仿宋" w:hAnsi="仿宋" w:eastAsia="仿宋" w:cs="仿宋"/>
          <w:b/>
          <w:sz w:val="30"/>
        </w:rPr>
        <w:t>没有</w:t>
      </w:r>
      <w:r>
        <w:rPr>
          <w:rFonts w:ascii="仿宋" w:hAnsi="仿宋" w:eastAsia="仿宋" w:cs="仿宋"/>
          <w:b w:val="0"/>
          <w:sz w:val="30"/>
        </w:rPr>
        <w:t>这些材料——基础合同在原告与行政机关处，授权文件在原告处，账簿在原告处，原始电子数据在原告处。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把这些问题从抗辩改造成反诉，等于主动把举证责任揽到自己身上，而自己并不掌握证据。这是本案最不应犯的错误。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二、逐项复核可能的反诉请求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（一）请求确认个人协议对被告不发生效力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不建议。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本诉本来就必须判断该协议能否作为收费依据，</w:t>
      </w:r>
      <w:r>
        <w:rPr>
          <w:rFonts w:ascii="仿宋" w:hAnsi="仿宋" w:eastAsia="仿宋" w:cs="仿宋"/>
          <w:b/>
          <w:sz w:val="30"/>
        </w:rPr>
        <w:t>独立的确认利益不足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更关键的是：签名归属、有无授权、有无追认三项事实</w:t>
      </w:r>
      <w:r>
        <w:rPr>
          <w:rFonts w:ascii="仿宋" w:hAnsi="仿宋" w:eastAsia="仿宋" w:cs="仿宋"/>
          <w:b/>
          <w:sz w:val="30"/>
        </w:rPr>
        <w:t>尚未查清</w:t>
      </w:r>
      <w:r>
        <w:rPr>
          <w:rFonts w:ascii="仿宋" w:hAnsi="仿宋" w:eastAsia="仿宋" w:cs="仿宋"/>
          <w:b w:val="0"/>
          <w:sz w:val="30"/>
        </w:rPr>
        <w:t>。前次评估已指出需取得证人证言与付款凭证，</w:t>
      </w:r>
      <w:r>
        <w:rPr>
          <w:rFonts w:ascii="仿宋" w:hAnsi="仿宋" w:eastAsia="仿宋" w:cs="仿宋"/>
          <w:b/>
          <w:sz w:val="30"/>
        </w:rPr>
        <w:t>至今未取得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若提出反诉而无法证明"未授权、未追认"，将同时损害本诉抗辩的可信度。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处理方式：作为抗辩，要求原告提交原件并证明签署过程。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（二）请求确认基础《前期物业服务合同》无效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不建议，且风险最高。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该请求与（2025）湘0105民初27046号案</w:t>
      </w:r>
      <w:r>
        <w:rPr>
          <w:rFonts w:ascii="仿宋" w:hAnsi="仿宋" w:eastAsia="仿宋" w:cs="仿宋"/>
          <w:b/>
          <w:sz w:val="30"/>
        </w:rPr>
        <w:t>诉讼标的相同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该案一审已作出判决，二审（2026）湘01民终13074号</w:t>
      </w:r>
      <w:r>
        <w:rPr>
          <w:rFonts w:ascii="仿宋" w:hAnsi="仿宋" w:eastAsia="仿宋" w:cs="仿宋"/>
          <w:b/>
          <w:sz w:val="30"/>
        </w:rPr>
        <w:t>正在进行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依《民诉法解释》第二百四十七条，构成</w:t>
      </w:r>
      <w:r>
        <w:rPr>
          <w:rFonts w:ascii="仿宋" w:hAnsi="仿宋" w:eastAsia="仿宋" w:cs="仿宋"/>
          <w:b/>
          <w:sz w:val="30"/>
        </w:rPr>
        <w:t>重复起诉</w:t>
      </w:r>
      <w:r>
        <w:rPr>
          <w:rFonts w:ascii="仿宋" w:hAnsi="仿宋" w:eastAsia="仿宋" w:cs="仿宋"/>
          <w:b w:val="0"/>
          <w:sz w:val="30"/>
        </w:rPr>
        <w:t>，将被裁定不予受理或驳回；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一旦被驳回，会对本案其他抗辩的可信度产生连带损害。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处理方式：不在本案提出。基础合同的效力由27046号案解决；本案只主张"原告未提交该合同、未完成举证"。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（三）请求撤销个人协议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不建议。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协议签署于2021年3月，至今已逾五年；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依《民法典》第一百五十二条，撤销权的除斥期间为一年（自知道或应当知道撤销事由起）、最长五年（自民事法律行为发生之日起）；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○　</w:t>
      </w:r>
      <w:r>
        <w:rPr>
          <w:rFonts w:ascii="仿宋" w:hAnsi="仿宋" w:eastAsia="仿宋" w:cs="仿宋"/>
          <w:b/>
          <w:sz w:val="30"/>
        </w:rPr>
        <w:t>五年最长期间已经届满，撤销权已消灭。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处理方式：放弃。改以"协议是否成立"（签名归属）与"格式条款是否成为合同内容"两条路径。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（四）请求确认日5‰违约金、律师费、拟制送达等条款无效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不建议。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原告本案诉请</w:t>
      </w:r>
      <w:r>
        <w:rPr>
          <w:rFonts w:ascii="仿宋" w:hAnsi="仿宋" w:eastAsia="仿宋" w:cs="仿宋"/>
          <w:b/>
          <w:sz w:val="30"/>
        </w:rPr>
        <w:t>未列违约金与律师费</w:t>
      </w:r>
      <w:r>
        <w:rPr>
          <w:rFonts w:ascii="仿宋" w:hAnsi="仿宋" w:eastAsia="仿宋" w:cs="仿宋"/>
          <w:b w:val="0"/>
          <w:sz w:val="30"/>
        </w:rPr>
        <w:t>，法院可能认为缺少现实的独立争议；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作为抗辩已经足够——依《民法典》第四百九十六条第二款，只需指出原告未尽提示说明义务，由原告举证。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处理方式：作为抗辩保留异议。若原告在庭审中增加违约金或律师费请求，则立即重新评估。</w:t>
      </w:r>
    </w:p>
    <w:p>
      <w:pPr>
        <w:spacing w:lineRule="exact" w:line="560" w:before="160" w:after="80"/>
      </w:pPr>
      <w:r>
        <w:rPr>
          <w:rFonts w:ascii="仿宋" w:hAnsi="仿宋" w:eastAsia="仿宋" w:cs="仿宋"/>
          <w:b/>
          <w:sz w:val="30"/>
        </w:rPr>
        <w:t>（五）请求返还违规收费或公共收益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不建议。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缺少已付金额、付款人、具体违规项目与计算依据；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公共收益属全体业主共有，单个业主主张返还，主体适格性存疑；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○　无凭据的金钱请求会显著降低整体主张的可信度。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处理方式：不提出。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三、2026年9月新发现是否改变结论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365"/>
        <w:gridCol w:w="4365"/>
      </w:tblGrid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新发现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对反诉的影响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被告房屋为12栋503，属B/C区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强化抗辩</w:t>
            </w:r>
            <w:r>
              <w:rPr>
                <w:rFonts w:ascii="仿宋" w:hAnsi="仿宋" w:eastAsia="仿宋" w:cs="仿宋"/>
                <w:b w:val="0"/>
                <w:sz w:val="21"/>
              </w:rPr>
              <w:t>：本案应适用B/C区合同，而该合同存在两个签约日期、原告未提交。不产生反诉需求。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政府备案证明载资质"二级"，合同封面载"一级"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强化抗辩</w:t>
            </w:r>
            <w:r>
              <w:rPr>
                <w:rFonts w:ascii="仿宋" w:hAnsi="仿宋" w:eastAsia="仿宋" w:cs="仿宋"/>
                <w:b w:val="0"/>
                <w:sz w:val="21"/>
              </w:rPr>
              <w:t>：服务主体资质与项目规模是否匹配，由原告举证。不产生反诉需求。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同一合同编号项下两个签约日期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强化抗辩</w:t>
            </w:r>
            <w:r>
              <w:rPr>
                <w:rFonts w:ascii="仿宋" w:hAnsi="仿宋" w:eastAsia="仿宋" w:cs="仿宋"/>
                <w:b w:val="0"/>
                <w:sz w:val="21"/>
              </w:rPr>
              <w:t>：合同成立时间与文本不确定，原告举证不能。不产生反诉需求。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原告在374号行政案自认"总公司授权"却拿不出文件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强化抗辩</w:t>
            </w:r>
            <w:r>
              <w:rPr>
                <w:rFonts w:ascii="仿宋" w:hAnsi="仿宋" w:eastAsia="仿宋" w:cs="仿宋"/>
                <w:b w:val="0"/>
                <w:sz w:val="21"/>
              </w:rPr>
              <w:t>：授权是原告主动主张的积极事实，由原告举证。不产生反诉需求。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原告在27046号主张合同有效、在本案却不提交该合同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强化抗辩</w:t>
            </w:r>
            <w:r>
              <w:rPr>
                <w:rFonts w:ascii="仿宋" w:hAnsi="仿宋" w:eastAsia="仿宋" w:cs="仿宋"/>
                <w:b w:val="0"/>
                <w:sz w:val="21"/>
              </w:rPr>
              <w:t>：诚信原则／禁反言。不产生反诉需求。</w:t>
            </w:r>
          </w:p>
        </w:tc>
      </w:tr>
    </w:tbl>
    <w:p/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全部五项新发现，指向的都是"原告举证不能"，而非"被告有独立请求权"。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这正是不应反诉的证明——如果这些事实真的支持反诉，它们应当表现为被告的请求权基础；而它们实际表现为原告的举证障碍。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四、反诉的附带成本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1.　</w:t>
      </w:r>
      <w:r>
        <w:rPr>
          <w:rFonts w:ascii="仿宋" w:hAnsi="仿宋" w:eastAsia="仿宋" w:cs="仿宋"/>
          <w:b/>
          <w:sz w:val="30"/>
        </w:rPr>
        <w:t>诉讼费</w:t>
      </w:r>
      <w:r>
        <w:rPr>
          <w:rFonts w:ascii="仿宋" w:hAnsi="仿宋" w:eastAsia="仿宋" w:cs="仿宋"/>
          <w:b w:val="0"/>
          <w:sz w:val="30"/>
        </w:rPr>
        <w:t>：反诉需另行缴纳；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2.　</w:t>
      </w:r>
      <w:r>
        <w:rPr>
          <w:rFonts w:ascii="仿宋" w:hAnsi="仿宋" w:eastAsia="仿宋" w:cs="仿宋"/>
          <w:b/>
          <w:sz w:val="30"/>
        </w:rPr>
        <w:t>庭审焦点分散</w:t>
      </w:r>
      <w:r>
        <w:rPr>
          <w:rFonts w:ascii="仿宋" w:hAnsi="仿宋" w:eastAsia="仿宋" w:cs="仿宋"/>
          <w:b w:val="0"/>
          <w:sz w:val="30"/>
        </w:rPr>
        <w:t>：本案的攻击核心是"10,384.08元这一具体债权未获证明"，反诉会把审理拉向合同效力的抽象争议；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3.　</w:t>
      </w:r>
      <w:r>
        <w:rPr>
          <w:rFonts w:ascii="仿宋" w:hAnsi="仿宋" w:eastAsia="仿宋" w:cs="仿宋"/>
          <w:b/>
          <w:sz w:val="30"/>
        </w:rPr>
        <w:t>角色转换</w:t>
      </w:r>
      <w:r>
        <w:rPr>
          <w:rFonts w:ascii="仿宋" w:hAnsi="仿宋" w:eastAsia="仿宋" w:cs="仿宋"/>
          <w:b w:val="0"/>
          <w:sz w:val="30"/>
        </w:rPr>
        <w:t>：反诉使被告在该部分成为原告，须先行完成举证；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4.　</w:t>
      </w:r>
      <w:r>
        <w:rPr>
          <w:rFonts w:ascii="仿宋" w:hAnsi="仿宋" w:eastAsia="仿宋" w:cs="仿宋"/>
          <w:b/>
          <w:sz w:val="30"/>
        </w:rPr>
        <w:t>期限风险</w:t>
      </w:r>
      <w:r>
        <w:rPr>
          <w:rFonts w:ascii="仿宋" w:hAnsi="仿宋" w:eastAsia="仿宋" w:cs="仿宋"/>
          <w:b w:val="0"/>
          <w:sz w:val="30"/>
        </w:rPr>
        <w:t>：反诉应在举证期限届满前提出，且须核对管辖与关联性。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五、何时应当重新评估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出现下列任一情形，</w:t>
      </w:r>
      <w:r>
        <w:rPr>
          <w:rFonts w:ascii="仿宋" w:hAnsi="仿宋" w:eastAsia="仿宋" w:cs="仿宋"/>
          <w:b/>
          <w:sz w:val="30"/>
        </w:rPr>
        <w:t>立即重新评估</w:t>
      </w:r>
      <w:r>
        <w:rPr>
          <w:rFonts w:ascii="仿宋" w:hAnsi="仿宋" w:eastAsia="仿宋" w:cs="仿宋"/>
          <w:b w:val="0"/>
          <w:sz w:val="30"/>
        </w:rPr>
        <w:t>：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1.　</w:t>
      </w:r>
      <w:r>
        <w:rPr>
          <w:rFonts w:ascii="仿宋" w:hAnsi="仿宋" w:eastAsia="仿宋" w:cs="仿宋"/>
          <w:b/>
          <w:sz w:val="30"/>
        </w:rPr>
        <w:t>原告在庭审中增加违约金、律师费或其他金钱请求</w:t>
      </w:r>
      <w:r>
        <w:rPr>
          <w:rFonts w:ascii="仿宋" w:hAnsi="仿宋" w:eastAsia="仿宋" w:cs="仿宋"/>
          <w:b w:val="0"/>
          <w:sz w:val="30"/>
        </w:rPr>
        <w:t>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2.　取得证人证言与付款凭证，足以证明</w:t>
      </w:r>
      <w:r>
        <w:rPr>
          <w:rFonts w:ascii="仿宋" w:hAnsi="仿宋" w:eastAsia="仿宋" w:cs="仿宋"/>
          <w:b/>
          <w:sz w:val="30"/>
        </w:rPr>
        <w:t>未授权且未追认</w:t>
      </w:r>
      <w:r>
        <w:rPr>
          <w:rFonts w:ascii="仿宋" w:hAnsi="仿宋" w:eastAsia="仿宋" w:cs="仿宋"/>
          <w:b w:val="0"/>
          <w:sz w:val="30"/>
        </w:rPr>
        <w:t>，且原告仍在其他场合独立援引个人协议；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3.　查明具体的重复收费或违规收费项目及金额，并有付款凭证；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 xml:space="preserve">4.　</w:t>
      </w:r>
      <w:r>
        <w:rPr>
          <w:rFonts w:ascii="仿宋" w:hAnsi="仿宋" w:eastAsia="仿宋" w:cs="仿宋"/>
          <w:b/>
          <w:sz w:val="30"/>
        </w:rPr>
        <w:t>27046号案二审作出终局裁判</w:t>
      </w:r>
      <w:r>
        <w:rPr>
          <w:rFonts w:ascii="仿宋" w:hAnsi="仿宋" w:eastAsia="仿宋" w:cs="仿宋"/>
          <w:b w:val="0"/>
          <w:sz w:val="30"/>
        </w:rPr>
        <w:t>，且该裁判排除了重复起诉的可能；</w:t>
      </w:r>
    </w:p>
    <w:p>
      <w:pPr>
        <w:spacing w:lineRule="exact" w:line="560" w:before="20" w:after="20"/>
        <w:ind w:left="600"/>
      </w:pPr>
      <w:r>
        <w:rPr>
          <w:rFonts w:ascii="仿宋" w:hAnsi="仿宋" w:eastAsia="仿宋" w:cs="仿宋"/>
          <w:b w:val="0"/>
          <w:sz w:val="30"/>
        </w:rPr>
        <w:t>5.　原告另行提起新的诉讼，产生新的独立争议。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六、替代方案：用程序申请实现反诉本欲达到的效果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 w:val="0"/>
          <w:sz w:val="30"/>
        </w:rPr>
        <w:t>被告希望通过反诉达到的效果，</w:t>
      </w:r>
      <w:r>
        <w:rPr>
          <w:rFonts w:ascii="仿宋" w:hAnsi="仿宋" w:eastAsia="仿宋" w:cs="仿宋"/>
          <w:b/>
          <w:sz w:val="30"/>
        </w:rPr>
        <w:t>几乎全部可以通过下列程序申请实现，且不承担举证责任</w:t>
      </w:r>
      <w:r>
        <w:rPr>
          <w:rFonts w:ascii="仿宋" w:hAnsi="仿宋" w:eastAsia="仿宋" w:cs="仿宋"/>
          <w:b w:val="0"/>
          <w:sz w:val="30"/>
        </w:rPr>
        <w:t>：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365"/>
        <w:gridCol w:w="4365"/>
      </w:tblGrid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目的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/>
                <w:sz w:val="21"/>
              </w:rPr>
              <w:t>替代手段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迫使原告拿出基础合同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《责令原告提交书证申请书》（《民诉法解释》第112条、《民事证据规定》第45—48条；拒不提交依第95条处理）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查明协议签署过程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证人出庭申请；原件核验；条件性笔迹鉴定申请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查明收费标准合法性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政府信息公开申请（致市发改委）＋调查取证申请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查明主体资格与授权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企业登记档案查询申请＋责令提交授权文件</w:t>
            </w:r>
          </w:p>
        </w:tc>
      </w:tr>
      <w:tr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查明账目</w:t>
            </w:r>
          </w:p>
        </w:tc>
        <w:tc>
          <w:tcPr>
            <w:tcW w:type="dxa" w:w="4365"/>
          </w:tcPr>
          <w:p>
            <w:pPr>
              <w:spacing w:lineRule="auto" w:line="240" w:before="20" w:after="20"/>
            </w:pPr>
            <w:r/>
            <w:r>
              <w:rPr>
                <w:rFonts w:ascii="仿宋" w:hAnsi="仿宋" w:eastAsia="仿宋" w:cs="仿宋"/>
                <w:b w:val="0"/>
                <w:sz w:val="21"/>
              </w:rPr>
              <w:t>责令提交收费账簿、原始凭证、收款流水</w:t>
            </w:r>
          </w:p>
        </w:tc>
      </w:tr>
    </w:tbl>
    <w:p/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这些申请即使被驳回，也不损害抗辩地位；而反诉一旦被驳回，会连带削弱抗辩的可信度。</w:t>
      </w:r>
    </w:p>
    <w:p>
      <w:pPr>
        <w:spacing w:lineRule="exact" w:line="560" w:before="280" w:after="160"/>
        <w:jc w:val="center"/>
      </w:pPr>
      <w:r>
        <w:rPr>
          <w:rFonts w:ascii="仿宋" w:hAnsi="仿宋" w:eastAsia="仿宋" w:cs="仿宋"/>
          <w:b/>
          <w:sz w:val="30"/>
        </w:rPr>
        <w:t>最终建议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不提反诉。全部力量集中于两点：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第一，原告的请求权基础文件（基础合同）未提交。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第二，原告主张的10,384.08元这一具体债权，其计费参数在原告自己的起诉状与证据之间即自相矛盾。</w:t>
      </w:r>
    </w:p>
    <w:p>
      <w:pPr>
        <w:spacing w:lineRule="exact" w:line="560" w:before="40" w:after="40"/>
        <w:ind w:firstLine="600"/>
        <w:jc w:val="both"/>
      </w:pPr>
      <w:r>
        <w:rPr>
          <w:rFonts w:ascii="仿宋" w:hAnsi="仿宋" w:eastAsia="仿宋" w:cs="仿宋"/>
          <w:b/>
          <w:sz w:val="30"/>
        </w:rPr>
        <w:t>这两点都不需要被告举证任何事实，只需要指出原告没有完成它应当完成的证明。</w:t>
      </w:r>
    </w:p>
    <w:sectPr w:rsidR="00FC693F" w:rsidRPr="0006063C" w:rsidSect="00034616">
      <w:footerReference w:type="default" r:id="rId9"/>
      <w:pgSz w:w="11906" w:h="16838"/>
      <w:pgMar w:top="1417" w:right="1474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仿宋" w:hAnsi="仿宋" w:eastAsia="仿宋" w:cs="仿宋"/>
        <w:b w:val="0"/>
        <w:sz w:val="21"/>
      </w:rPr>
      <w:t xml:space="preserve">— </w:t>
    </w:r>
    <w:fldSimple w:instr="PAGE">
      <w:r>
        <w:rPr>
          <w:rFonts w:ascii="仿宋" w:hAnsi="仿宋" w:eastAsia="仿宋"/>
          <w:sz w:val="21"/>
        </w:rPr>
      </w:r>
    </w:fldSimple>
    <w:r>
      <w:rPr>
        <w:rFonts w:ascii="仿宋" w:hAnsi="仿宋" w:eastAsia="仿宋" w:cs="仿宋"/>
        <w:b w:val="0"/>
        <w:sz w:val="21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 w:eastAsia="仿宋"/>
      <w:sz w:val="3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