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before="120" w:after="200"/>
        <w:jc w:val="center"/>
      </w:pPr>
      <w:r>
        <w:rPr>
          <w:rFonts w:ascii="宋体" w:hAnsi="宋体" w:eastAsia="宋体" w:cs="宋体"/>
          <w:b/>
          <w:sz w:val="44"/>
        </w:rPr>
        <w:t>一审抗辩意见</w:t>
      </w:r>
    </w:p>
    <w:p>
      <w:pPr>
        <w:spacing w:lineRule="exact" w:line="560" w:before="0" w:after="280"/>
        <w:jc w:val="center"/>
      </w:pPr>
      <w:r>
        <w:rPr>
          <w:rFonts w:ascii="仿宋" w:hAnsi="仿宋" w:eastAsia="仿宋" w:cs="仿宋"/>
          <w:b w:val="0"/>
          <w:sz w:val="26"/>
        </w:rPr>
        <w:t>物业服务合同纠纷·2026年10月10日开庭</w:t>
      </w:r>
    </w:p>
    <w:p>
      <w:pPr>
        <w:spacing w:lineRule="exact" w:line="560" w:before="40" w:after="40"/>
        <w:ind w:firstLine="600"/>
        <w:jc w:val="both"/>
      </w:pPr>
      <w:r>
        <w:rPr>
          <w:rFonts w:ascii="仿宋" w:hAnsi="仿宋" w:eastAsia="仿宋" w:cs="仿宋"/>
          <w:b/>
          <w:sz w:val="30"/>
        </w:rPr>
        <w:t>案　　由：</w:t>
      </w:r>
      <w:r>
        <w:rPr>
          <w:rFonts w:ascii="仿宋" w:hAnsi="仿宋" w:eastAsia="仿宋" w:cs="仿宋"/>
          <w:b w:val="0"/>
          <w:sz w:val="30"/>
        </w:rPr>
        <w:t xml:space="preserve"> 物业服务合同纠纷</w:t>
      </w:r>
    </w:p>
    <w:p>
      <w:pPr>
        <w:spacing w:lineRule="exact" w:line="560" w:before="40" w:after="40"/>
        <w:ind w:firstLine="600"/>
        <w:jc w:val="both"/>
      </w:pPr>
      <w:r>
        <w:rPr>
          <w:rFonts w:ascii="仿宋" w:hAnsi="仿宋" w:eastAsia="仿宋" w:cs="仿宋"/>
          <w:b/>
          <w:sz w:val="30"/>
        </w:rPr>
        <w:t>原　　告：</w:t>
      </w:r>
      <w:r>
        <w:rPr>
          <w:rFonts w:ascii="仿宋" w:hAnsi="仿宋" w:eastAsia="仿宋" w:cs="仿宋"/>
          <w:b w:val="0"/>
          <w:sz w:val="30"/>
        </w:rPr>
        <w:t xml:space="preserve"> 中铁建物业管理有限公司长沙分公司</w:t>
      </w:r>
    </w:p>
    <w:p>
      <w:pPr>
        <w:spacing w:lineRule="exact" w:line="560" w:before="40" w:after="40"/>
        <w:ind w:firstLine="600"/>
        <w:jc w:val="both"/>
      </w:pPr>
      <w:r>
        <w:rPr>
          <w:rFonts w:ascii="仿宋" w:hAnsi="仿宋" w:eastAsia="仿宋" w:cs="仿宋"/>
          <w:b/>
          <w:sz w:val="30"/>
        </w:rPr>
        <w:t>被　　告：</w:t>
      </w:r>
      <w:r>
        <w:rPr>
          <w:rFonts w:ascii="仿宋" w:hAnsi="仿宋" w:eastAsia="仿宋" w:cs="仿宋"/>
          <w:b w:val="0"/>
          <w:sz w:val="30"/>
        </w:rPr>
        <w:t xml:space="preserve"> 李国平</w:t>
      </w:r>
    </w:p>
    <w:p>
      <w:pPr>
        <w:spacing w:lineRule="exact" w:line="560" w:before="40" w:after="40"/>
        <w:ind w:firstLine="600"/>
        <w:jc w:val="both"/>
      </w:pPr>
      <w:r>
        <w:rPr>
          <w:rFonts w:ascii="仿宋" w:hAnsi="仿宋" w:eastAsia="仿宋" w:cs="仿宋"/>
          <w:b/>
          <w:sz w:val="30"/>
        </w:rPr>
        <w:t>立案日期：</w:t>
      </w:r>
      <w:r>
        <w:rPr>
          <w:rFonts w:ascii="仿宋" w:hAnsi="仿宋" w:eastAsia="仿宋" w:cs="仿宋"/>
          <w:b w:val="0"/>
          <w:sz w:val="30"/>
        </w:rPr>
        <w:t xml:space="preserve"> 2026年8月5日　｜　</w:t>
      </w:r>
      <w:r>
        <w:rPr>
          <w:rFonts w:ascii="仿宋" w:hAnsi="仿宋" w:eastAsia="仿宋" w:cs="仿宋"/>
          <w:b/>
          <w:sz w:val="30"/>
        </w:rPr>
        <w:t>开庭日期：</w:t>
      </w:r>
      <w:r>
        <w:rPr>
          <w:rFonts w:ascii="仿宋" w:hAnsi="仿宋" w:eastAsia="仿宋" w:cs="仿宋"/>
          <w:b w:val="0"/>
          <w:sz w:val="30"/>
        </w:rPr>
        <w:t xml:space="preserve"> 2026年10月10日</w:t>
      </w:r>
    </w:p>
    <w:p>
      <w:pPr>
        <w:spacing w:lineRule="exact" w:line="560" w:before="40" w:after="40"/>
        <w:ind w:firstLine="600"/>
        <w:jc w:val="both"/>
      </w:pPr>
      <w:r>
        <w:rPr>
          <w:rFonts w:ascii="仿宋" w:hAnsi="仿宋" w:eastAsia="仿宋" w:cs="仿宋"/>
          <w:b/>
          <w:sz w:val="30"/>
        </w:rPr>
        <w:t>案　　号：</w:t>
      </w:r>
      <w:r>
        <w:rPr>
          <w:rFonts w:ascii="仿宋" w:hAnsi="仿宋" w:eastAsia="仿宋" w:cs="仿宋"/>
          <w:b w:val="0"/>
          <w:sz w:val="30"/>
        </w:rPr>
        <w:t xml:space="preserve"> 【待补】</w:t>
      </w:r>
    </w:p>
    <w:p>
      <w:pPr>
        <w:spacing w:lineRule="exact" w:line="560" w:before="160" w:after="80"/>
      </w:pPr>
      <w:r>
        <w:rPr>
          <w:rFonts w:ascii="仿宋" w:hAnsi="仿宋" w:eastAsia="仿宋" w:cs="仿宋"/>
          <w:b/>
          <w:sz w:val="30"/>
        </w:rPr>
        <w:t>抗辩总纲</w:t>
      </w:r>
    </w:p>
    <w:p>
      <w:pPr>
        <w:spacing w:lineRule="exact" w:line="560" w:before="40" w:after="40"/>
        <w:ind w:firstLine="600"/>
        <w:jc w:val="both"/>
      </w:pPr>
      <w:r>
        <w:rPr>
          <w:rFonts w:ascii="仿宋" w:hAnsi="仿宋" w:eastAsia="仿宋" w:cs="仿宋"/>
          <w:b/>
          <w:sz w:val="30"/>
        </w:rPr>
        <w:t>本案的核心不是被告是否应当缴纳物业费，而是原告是否已经证明其主张的10,384.08元这一具体债权。</w:t>
      </w:r>
    </w:p>
    <w:p>
      <w:pPr>
        <w:spacing w:lineRule="exact" w:line="560" w:before="40" w:after="40"/>
        <w:ind w:firstLine="600"/>
        <w:jc w:val="both"/>
      </w:pPr>
      <w:r>
        <w:rPr>
          <w:rFonts w:ascii="仿宋" w:hAnsi="仿宋" w:eastAsia="仿宋" w:cs="仿宋"/>
          <w:b w:val="0"/>
          <w:sz w:val="30"/>
        </w:rPr>
        <w:t>依《中华人民共和国民事诉讼法》第六十七条第一款，原告对自己提出的主张负有举证责任。被告认为，原告现有全部证据——《民事起诉状》、个人《前期物业服务协议》复制件、微信聊天拼图——</w:t>
      </w:r>
      <w:r>
        <w:rPr>
          <w:rFonts w:ascii="仿宋" w:hAnsi="仿宋" w:eastAsia="仿宋" w:cs="仿宋"/>
          <w:b/>
          <w:sz w:val="30"/>
        </w:rPr>
        <w:t>不足以证明其诉请</w:t>
      </w:r>
      <w:r>
        <w:rPr>
          <w:rFonts w:ascii="仿宋" w:hAnsi="仿宋" w:eastAsia="仿宋" w:cs="仿宋"/>
          <w:b w:val="0"/>
          <w:sz w:val="30"/>
        </w:rPr>
        <w:t>。被告的抗辩围绕原告举证的缺口展开，</w:t>
      </w:r>
      <w:r>
        <w:rPr>
          <w:rFonts w:ascii="仿宋" w:hAnsi="仿宋" w:eastAsia="仿宋" w:cs="仿宋"/>
          <w:b/>
          <w:sz w:val="30"/>
        </w:rPr>
        <w:t>不承担证明合同无效或不存在的责任</w:t>
      </w:r>
      <w:r>
        <w:rPr>
          <w:rFonts w:ascii="仿宋" w:hAnsi="仿宋" w:eastAsia="仿宋" w:cs="仿宋"/>
          <w:b w:val="0"/>
          <w:sz w:val="30"/>
        </w:rPr>
        <w:t>。</w:t>
      </w:r>
    </w:p>
    <w:p>
      <w:pPr>
        <w:spacing w:lineRule="exact" w:line="560" w:before="160" w:after="80"/>
      </w:pPr>
      <w:r>
        <w:rPr>
          <w:rFonts w:ascii="仿宋" w:hAnsi="仿宋" w:eastAsia="仿宋" w:cs="仿宋"/>
          <w:b/>
          <w:sz w:val="30"/>
        </w:rPr>
        <w:t>一、原告的请求权基础文件未提交</w:t>
      </w:r>
    </w:p>
    <w:p>
      <w:pPr>
        <w:spacing w:lineRule="exact" w:line="560" w:before="160" w:after="80"/>
      </w:pPr>
      <w:r>
        <w:rPr>
          <w:rFonts w:ascii="仿宋" w:hAnsi="仿宋" w:eastAsia="仿宋" w:cs="仿宋"/>
          <w:b/>
          <w:sz w:val="30"/>
        </w:rPr>
        <w:t>（一）个人协议自己指明了收费依据，而该依据未进入本案</w:t>
      </w:r>
    </w:p>
    <w:p>
      <w:pPr>
        <w:spacing w:lineRule="exact" w:line="560" w:before="40" w:after="40"/>
        <w:ind w:firstLine="600"/>
        <w:jc w:val="both"/>
      </w:pPr>
      <w:r>
        <w:rPr>
          <w:rFonts w:ascii="仿宋" w:hAnsi="仿宋" w:eastAsia="仿宋" w:cs="仿宋"/>
          <w:b w:val="0"/>
          <w:sz w:val="30"/>
        </w:rPr>
        <w:t>原告提交的个人《前期物业服务协议》第2—3页</w:t>
      </w:r>
      <w:r>
        <w:rPr>
          <w:rFonts w:ascii="仿宋" w:hAnsi="仿宋" w:eastAsia="仿宋" w:cs="仿宋"/>
          <w:b/>
          <w:sz w:val="30"/>
        </w:rPr>
        <w:t>明确将基础《前期物业服务合同》列为收费依据</w:t>
      </w:r>
      <w:r>
        <w:rPr>
          <w:rFonts w:ascii="仿宋" w:hAnsi="仿宋" w:eastAsia="仿宋" w:cs="仿宋"/>
          <w:b w:val="0"/>
          <w:sz w:val="30"/>
        </w:rPr>
        <w:t>。</w:t>
      </w:r>
    </w:p>
    <w:p>
      <w:pPr>
        <w:spacing w:lineRule="exact" w:line="560" w:before="40" w:after="40"/>
        <w:ind w:firstLine="600"/>
        <w:jc w:val="both"/>
      </w:pPr>
      <w:r>
        <w:rPr>
          <w:rFonts w:ascii="仿宋" w:hAnsi="仿宋" w:eastAsia="仿宋" w:cs="仿宋"/>
          <w:b w:val="0"/>
          <w:sz w:val="30"/>
        </w:rPr>
        <w:t>然而，</w:t>
      </w:r>
      <w:r>
        <w:rPr>
          <w:rFonts w:ascii="仿宋" w:hAnsi="仿宋" w:eastAsia="仿宋" w:cs="仿宋"/>
          <w:b/>
          <w:sz w:val="30"/>
        </w:rPr>
        <w:t>原告至今未向本院提交该份基础合同</w:t>
      </w:r>
      <w:r>
        <w:rPr>
          <w:rFonts w:ascii="仿宋" w:hAnsi="仿宋" w:eastAsia="仿宋" w:cs="仿宋"/>
          <w:b w:val="0"/>
          <w:sz w:val="30"/>
        </w:rPr>
        <w:t>。</w:t>
      </w:r>
    </w:p>
    <w:p>
      <w:pPr>
        <w:spacing w:lineRule="exact" w:line="560" w:before="40" w:after="40"/>
        <w:ind w:firstLine="600"/>
        <w:jc w:val="both"/>
      </w:pPr>
      <w:r>
        <w:rPr>
          <w:rFonts w:ascii="仿宋" w:hAnsi="仿宋" w:eastAsia="仿宋" w:cs="仿宋"/>
          <w:b w:val="0"/>
          <w:sz w:val="30"/>
        </w:rPr>
        <w:t>其后果是：</w:t>
      </w:r>
    </w:p>
    <w:p>
      <w:pPr>
        <w:spacing w:lineRule="exact" w:line="560" w:before="20" w:after="20"/>
        <w:ind w:left="600"/>
      </w:pPr>
      <w:r>
        <w:rPr>
          <w:rFonts w:ascii="仿宋" w:hAnsi="仿宋" w:eastAsia="仿宋" w:cs="仿宋"/>
          <w:b w:val="0"/>
          <w:sz w:val="30"/>
        </w:rPr>
        <w:t>1.　无法确定本案适用的是A区合同还是B、C区合同；</w:t>
      </w:r>
    </w:p>
    <w:p>
      <w:pPr>
        <w:spacing w:lineRule="exact" w:line="560" w:before="20" w:after="20"/>
        <w:ind w:left="600"/>
      </w:pPr>
      <w:r>
        <w:rPr>
          <w:rFonts w:ascii="仿宋" w:hAnsi="仿宋" w:eastAsia="仿宋" w:cs="仿宋"/>
          <w:b w:val="0"/>
          <w:sz w:val="30"/>
        </w:rPr>
        <w:t>2.　无法确定合同的服务范围是否覆盖被告房屋所在的12栋；</w:t>
      </w:r>
    </w:p>
    <w:p>
      <w:pPr>
        <w:spacing w:lineRule="exact" w:line="560" w:before="20" w:after="20"/>
        <w:ind w:left="600"/>
      </w:pPr>
      <w:r>
        <w:rPr>
          <w:rFonts w:ascii="仿宋" w:hAnsi="仿宋" w:eastAsia="仿宋" w:cs="仿宋"/>
          <w:b w:val="0"/>
          <w:sz w:val="30"/>
        </w:rPr>
        <w:t>3.　无法确定合同的存续期间是否覆盖原告主张的计费期间；</w:t>
      </w:r>
    </w:p>
    <w:p>
      <w:pPr>
        <w:spacing w:lineRule="exact" w:line="560" w:before="20" w:after="20"/>
        <w:ind w:left="600"/>
      </w:pPr>
      <w:r>
        <w:rPr>
          <w:rFonts w:ascii="仿宋" w:hAnsi="仿宋" w:eastAsia="仿宋" w:cs="仿宋"/>
          <w:b w:val="0"/>
          <w:sz w:val="30"/>
        </w:rPr>
        <w:t>4.　无法确定约定的收费标准、计费方式与结算周期。</w:t>
      </w:r>
    </w:p>
    <w:p>
      <w:pPr>
        <w:spacing w:lineRule="exact" w:line="560" w:before="40" w:after="40"/>
        <w:ind w:firstLine="600"/>
        <w:jc w:val="both"/>
      </w:pPr>
      <w:r>
        <w:rPr>
          <w:rFonts w:ascii="仿宋" w:hAnsi="仿宋" w:eastAsia="仿宋" w:cs="仿宋"/>
          <w:b/>
          <w:sz w:val="30"/>
        </w:rPr>
        <w:t>在基础合同缺位的情况下，个人协议至多证明存在一份载有房屋、费率与服务内容的文本，不能证明原告依约享有本案主张的具体债权。</w:t>
      </w:r>
    </w:p>
    <w:p>
      <w:pPr>
        <w:spacing w:lineRule="exact" w:line="560" w:before="160" w:after="80"/>
      </w:pPr>
      <w:r>
        <w:rPr>
          <w:rFonts w:ascii="仿宋" w:hAnsi="仿宋" w:eastAsia="仿宋" w:cs="仿宋"/>
          <w:b/>
          <w:sz w:val="30"/>
        </w:rPr>
        <w:t>（二）原告在另案中对该合同持相反立场</w:t>
      </w:r>
    </w:p>
    <w:p>
      <w:pPr>
        <w:spacing w:lineRule="exact" w:line="560" w:before="40" w:after="40"/>
        <w:ind w:firstLine="600"/>
        <w:jc w:val="both"/>
      </w:pPr>
      <w:r>
        <w:rPr>
          <w:rFonts w:ascii="仿宋" w:hAnsi="仿宋" w:eastAsia="仿宋" w:cs="仿宋"/>
          <w:b w:val="0"/>
          <w:sz w:val="30"/>
        </w:rPr>
        <w:t>被告特别提请本院注意：在被告李国平诉本案原告及中铁房地产集团长沙置业有限公司确认合同无效纠纷一案（（2025）湘0105民初27046号，现二审案号（2026）湘01民终13074号）中，</w:t>
      </w:r>
      <w:r>
        <w:rPr>
          <w:rFonts w:ascii="仿宋" w:hAnsi="仿宋" w:eastAsia="仿宋" w:cs="仿宋"/>
          <w:b/>
          <w:sz w:val="30"/>
        </w:rPr>
        <w:t>本案原告极力主张案涉《前期物业服务合同》合法有效，并以此作为其取得物业服务权利的依据</w:t>
      </w:r>
      <w:r>
        <w:rPr>
          <w:rFonts w:ascii="仿宋" w:hAnsi="仿宋" w:eastAsia="仿宋" w:cs="仿宋"/>
          <w:b w:val="0"/>
          <w:sz w:val="30"/>
        </w:rPr>
        <w:t>。</w:t>
      </w:r>
    </w:p>
    <w:p>
      <w:pPr>
        <w:spacing w:lineRule="exact" w:line="560" w:before="40" w:after="40"/>
        <w:ind w:firstLine="600"/>
        <w:jc w:val="both"/>
      </w:pPr>
      <w:r>
        <w:rPr>
          <w:rFonts w:ascii="仿宋" w:hAnsi="仿宋" w:eastAsia="仿宋" w:cs="仿宋"/>
          <w:b/>
          <w:sz w:val="30"/>
        </w:rPr>
        <w:t>同一份合同，原告在需要维持其效力时主张其合法有效，在需要证明其收费内容时却不予提交。</w:t>
      </w:r>
      <w:r>
        <w:rPr>
          <w:rFonts w:ascii="仿宋" w:hAnsi="仿宋" w:eastAsia="仿宋" w:cs="仿宋"/>
          <w:b w:val="0"/>
          <w:sz w:val="30"/>
        </w:rPr>
        <w:t xml:space="preserve"> 恳请本院要求原告说明理由，并责令其提交该合同完整原件。</w:t>
      </w:r>
    </w:p>
    <w:p>
      <w:pPr>
        <w:spacing w:lineRule="exact" w:line="560" w:before="160" w:after="80"/>
      </w:pPr>
      <w:r>
        <w:rPr>
          <w:rFonts w:ascii="仿宋" w:hAnsi="仿宋" w:eastAsia="仿宋" w:cs="仿宋"/>
          <w:b/>
          <w:sz w:val="30"/>
        </w:rPr>
        <w:t>二、原告的诉讼主体资格与授权依据</w:t>
      </w:r>
    </w:p>
    <w:p>
      <w:pPr>
        <w:spacing w:lineRule="exact" w:line="560" w:before="160" w:after="80"/>
      </w:pPr>
      <w:r>
        <w:rPr>
          <w:rFonts w:ascii="仿宋" w:hAnsi="仿宋" w:eastAsia="仿宋" w:cs="仿宋"/>
          <w:b/>
          <w:sz w:val="30"/>
        </w:rPr>
        <w:t>（一）分支机构的主体资格证明</w:t>
      </w:r>
    </w:p>
    <w:p>
      <w:pPr>
        <w:spacing w:lineRule="exact" w:line="560" w:before="40" w:after="40"/>
        <w:ind w:firstLine="600"/>
        <w:jc w:val="both"/>
      </w:pPr>
      <w:r>
        <w:rPr>
          <w:rFonts w:ascii="仿宋" w:hAnsi="仿宋" w:eastAsia="仿宋" w:cs="仿宋"/>
          <w:b w:val="0"/>
          <w:sz w:val="30"/>
        </w:rPr>
        <w:t>原告系分支机构。依《民诉法解释》第五十二条，分支机构可以作为当事人，但应当提交营业执照、负责人身份证明等主体资格材料。</w:t>
      </w:r>
      <w:r>
        <w:rPr>
          <w:rFonts w:ascii="仿宋" w:hAnsi="仿宋" w:eastAsia="仿宋" w:cs="仿宋"/>
          <w:b/>
          <w:sz w:val="30"/>
        </w:rPr>
        <w:t>如原告未提交或提交不全，应依《民诉法解释》第二百零八条责令补正。</w:t>
      </w:r>
    </w:p>
    <w:p>
      <w:pPr>
        <w:spacing w:lineRule="exact" w:line="560" w:before="160" w:after="80"/>
      </w:pPr>
      <w:r>
        <w:rPr>
          <w:rFonts w:ascii="仿宋" w:hAnsi="仿宋" w:eastAsia="仿宋" w:cs="仿宋"/>
          <w:b/>
          <w:sz w:val="30"/>
        </w:rPr>
        <w:t>（二）承接中标项目的授权依据</w:t>
      </w:r>
    </w:p>
    <w:p>
      <w:pPr>
        <w:spacing w:lineRule="exact" w:line="560" w:before="40" w:after="40"/>
        <w:ind w:firstLine="600"/>
        <w:jc w:val="both"/>
      </w:pPr>
      <w:r>
        <w:rPr>
          <w:rFonts w:ascii="仿宋" w:hAnsi="仿宋" w:eastAsia="仿宋" w:cs="仿宋"/>
          <w:b w:val="0"/>
          <w:sz w:val="30"/>
        </w:rPr>
        <w:t>案涉两次前期物业管理招投标的中标人，均为</w:t>
      </w:r>
      <w:r>
        <w:rPr>
          <w:rFonts w:ascii="仿宋" w:hAnsi="仿宋" w:eastAsia="仿宋" w:cs="仿宋"/>
          <w:b/>
          <w:sz w:val="30"/>
        </w:rPr>
        <w:t>总公司中铁建（北京）物业管理有限公司</w:t>
      </w:r>
      <w:r>
        <w:rPr>
          <w:rFonts w:ascii="仿宋" w:hAnsi="仿宋" w:eastAsia="仿宋" w:cs="仿宋"/>
          <w:b w:val="0"/>
          <w:sz w:val="30"/>
        </w:rPr>
        <w:t>；而两份合同的乙方，均为其</w:t>
      </w:r>
      <w:r>
        <w:rPr>
          <w:rFonts w:ascii="仿宋" w:hAnsi="仿宋" w:eastAsia="仿宋" w:cs="仿宋"/>
          <w:b/>
          <w:sz w:val="30"/>
        </w:rPr>
        <w:t>长沙分公司</w:t>
      </w:r>
      <w:r>
        <w:rPr>
          <w:rFonts w:ascii="仿宋" w:hAnsi="仿宋" w:eastAsia="仿宋" w:cs="仿宋"/>
          <w:b w:val="0"/>
          <w:sz w:val="30"/>
        </w:rPr>
        <w:t>。</w:t>
      </w:r>
    </w:p>
    <w:p>
      <w:pPr>
        <w:spacing w:lineRule="exact" w:line="560" w:before="40" w:after="40"/>
        <w:ind w:firstLine="600"/>
        <w:jc w:val="both"/>
      </w:pPr>
      <w:r>
        <w:rPr>
          <w:rFonts w:ascii="仿宋" w:hAnsi="仿宋" w:eastAsia="仿宋" w:cs="仿宋"/>
          <w:b/>
          <w:sz w:val="30"/>
        </w:rPr>
        <w:t>原告在（2026）湘8601行初374号行政案件提交的书面《答辩意见》中，主动主张："中铁建物业管理有限公司中标后，授权签订合同并实际提供服务。"</w:t>
      </w:r>
    </w:p>
    <w:p>
      <w:pPr>
        <w:spacing w:lineRule="exact" w:line="560" w:before="40" w:after="40"/>
        <w:ind w:firstLine="600"/>
        <w:jc w:val="both"/>
      </w:pPr>
      <w:r>
        <w:rPr>
          <w:rFonts w:ascii="仿宋" w:hAnsi="仿宋" w:eastAsia="仿宋" w:cs="仿宋"/>
          <w:b/>
          <w:sz w:val="30"/>
        </w:rPr>
        <w:t>授权既系原告主动提出的积极事实，依"谁主张谁举证"，应由其举证。</w:t>
      </w:r>
      <w:r>
        <w:rPr>
          <w:rFonts w:ascii="仿宋" w:hAnsi="仿宋" w:eastAsia="仿宋" w:cs="仿宋"/>
          <w:b w:val="0"/>
          <w:sz w:val="30"/>
        </w:rPr>
        <w:t xml:space="preserve"> 恳请本院责令原告提交总公司授权其承接案涉项目、签订案涉合同的书面授权文件。</w:t>
      </w:r>
    </w:p>
    <w:p>
      <w:pPr>
        <w:spacing w:lineRule="exact" w:line="560" w:before="160" w:after="80"/>
      </w:pPr>
      <w:r>
        <w:rPr>
          <w:rFonts w:ascii="仿宋" w:hAnsi="仿宋" w:eastAsia="仿宋" w:cs="仿宋"/>
          <w:b/>
          <w:sz w:val="30"/>
        </w:rPr>
        <w:t>三、个人《前期物业服务协议》的成立与效力</w:t>
      </w:r>
    </w:p>
    <w:p>
      <w:pPr>
        <w:spacing w:lineRule="exact" w:line="560" w:before="160" w:after="80"/>
      </w:pPr>
      <w:r>
        <w:rPr>
          <w:rFonts w:ascii="仿宋" w:hAnsi="仿宋" w:eastAsia="仿宋" w:cs="仿宋"/>
          <w:b/>
          <w:sz w:val="30"/>
        </w:rPr>
        <w:t>（一）真实性：复制件不能替代原件</w:t>
      </w:r>
    </w:p>
    <w:p>
      <w:pPr>
        <w:spacing w:lineRule="exact" w:line="560" w:before="40" w:after="40"/>
        <w:ind w:firstLine="600"/>
        <w:jc w:val="both"/>
      </w:pPr>
      <w:r>
        <w:rPr>
          <w:rFonts w:ascii="仿宋" w:hAnsi="仿宋" w:eastAsia="仿宋" w:cs="仿宋"/>
          <w:b w:val="0"/>
          <w:sz w:val="30"/>
        </w:rPr>
        <w:t>原告提交的是复制件。被告</w:t>
      </w:r>
      <w:r>
        <w:rPr>
          <w:rFonts w:ascii="仿宋" w:hAnsi="仿宋" w:eastAsia="仿宋" w:cs="仿宋"/>
          <w:b/>
          <w:sz w:val="30"/>
        </w:rPr>
        <w:t>不认可乙方签名系本人亲笔书写</w:t>
      </w:r>
      <w:r>
        <w:rPr>
          <w:rFonts w:ascii="仿宋" w:hAnsi="仿宋" w:eastAsia="仿宋" w:cs="仿宋"/>
          <w:b w:val="0"/>
          <w:sz w:val="30"/>
        </w:rPr>
        <w:t>。请求本院责令原告提交原件，并说明签署的经办人、时间、地点与过程。</w:t>
      </w:r>
    </w:p>
    <w:p>
      <w:pPr>
        <w:spacing w:lineRule="exact" w:line="560" w:before="160" w:after="80"/>
      </w:pPr>
      <w:r>
        <w:rPr>
          <w:rFonts w:ascii="仿宋" w:hAnsi="仿宋" w:eastAsia="仿宋" w:cs="仿宋"/>
          <w:b/>
          <w:sz w:val="30"/>
        </w:rPr>
        <w:t>（二）签署归属：三种情形应分别处理</w:t>
      </w:r>
    </w:p>
    <w:p>
      <w:pPr>
        <w:spacing w:lineRule="exact" w:line="560" w:before="40" w:after="40"/>
        <w:ind w:firstLine="600"/>
        <w:jc w:val="both"/>
      </w:pPr>
      <w:r>
        <w:rPr>
          <w:rFonts w:ascii="仿宋" w:hAnsi="仿宋" w:eastAsia="仿宋" w:cs="仿宋"/>
          <w:b w:val="0"/>
          <w:sz w:val="30"/>
        </w:rPr>
        <w:t>若经查明系他人（同行律师朋友）代为签署，则应分别审查：</w:t>
      </w:r>
      <w:r>
        <w:rPr>
          <w:rFonts w:ascii="仿宋" w:hAnsi="仿宋" w:eastAsia="仿宋" w:cs="仿宋"/>
          <w:b/>
          <w:sz w:val="30"/>
        </w:rPr>
        <w:t>有无授权、事后有无追认、是否构成表见代理。律师身份本身不产生代理权。</w:t>
      </w:r>
    </w:p>
    <w:p>
      <w:pPr>
        <w:spacing w:lineRule="exact" w:line="560" w:before="40" w:after="40"/>
        <w:ind w:firstLine="600"/>
        <w:jc w:val="both"/>
      </w:pPr>
      <w:r>
        <w:rPr>
          <w:rFonts w:ascii="仿宋" w:hAnsi="仿宋" w:eastAsia="仿宋" w:cs="仿宋"/>
          <w:b w:val="0"/>
          <w:sz w:val="30"/>
        </w:rPr>
        <w:t>被告同时说明：如原告坚持主张系被告本人亲笔，被告在原件具备鉴定条件后申请笔迹鉴定。</w:t>
      </w:r>
    </w:p>
    <w:p>
      <w:pPr>
        <w:spacing w:lineRule="exact" w:line="560" w:before="160" w:after="80"/>
      </w:pPr>
      <w:r>
        <w:rPr>
          <w:rFonts w:ascii="仿宋" w:hAnsi="仿宋" w:eastAsia="仿宋" w:cs="仿宋"/>
          <w:b/>
          <w:sz w:val="30"/>
        </w:rPr>
        <w:t>（三）文本自身的缺陷</w:t>
      </w:r>
    </w:p>
    <w:p>
      <w:pPr>
        <w:spacing w:lineRule="exact" w:line="560" w:before="40" w:after="40"/>
        <w:ind w:firstLine="600"/>
        <w:jc w:val="both"/>
      </w:pPr>
      <w:r>
        <w:rPr>
          <w:rFonts w:ascii="仿宋" w:hAnsi="仿宋" w:eastAsia="仿宋" w:cs="仿宋"/>
          <w:b/>
          <w:sz w:val="30"/>
        </w:rPr>
        <w:t>协议第12页物业方负责人签章栏与物业方日期栏为空白。</w:t>
      </w:r>
      <w:r>
        <w:rPr>
          <w:rFonts w:ascii="仿宋" w:hAnsi="仿宋" w:eastAsia="仿宋" w:cs="仿宋"/>
          <w:b w:val="0"/>
          <w:sz w:val="30"/>
        </w:rPr>
        <w:t xml:space="preserve"> 该情形不当然导致协议无效，但显著削弱其对签署过程的证明力，并使协议成立时间无法自文本确定。</w:t>
      </w:r>
    </w:p>
    <w:p>
      <w:pPr>
        <w:spacing w:lineRule="exact" w:line="560" w:before="160" w:after="80"/>
      </w:pPr>
      <w:r>
        <w:rPr>
          <w:rFonts w:ascii="仿宋" w:hAnsi="仿宋" w:eastAsia="仿宋" w:cs="仿宋"/>
          <w:b/>
          <w:sz w:val="30"/>
        </w:rPr>
        <w:t>（四）缔约情境</w:t>
      </w:r>
    </w:p>
    <w:p>
      <w:pPr>
        <w:spacing w:lineRule="exact" w:line="560" w:before="40" w:after="40"/>
        <w:ind w:firstLine="600"/>
        <w:jc w:val="both"/>
      </w:pPr>
      <w:r>
        <w:rPr>
          <w:rFonts w:ascii="仿宋" w:hAnsi="仿宋" w:eastAsia="仿宋" w:cs="仿宋"/>
          <w:b w:val="0"/>
          <w:sz w:val="30"/>
        </w:rPr>
        <w:t>案涉个人协议系办理交房手续时提供的格式文本。</w:t>
      </w:r>
      <w:r>
        <w:rPr>
          <w:rFonts w:ascii="仿宋" w:hAnsi="仿宋" w:eastAsia="仿宋" w:cs="仿宋"/>
          <w:b/>
          <w:sz w:val="30"/>
        </w:rPr>
        <w:t>被告主张，不签署该协议即无法办理收房，被告在缔约中不具有对等的磋商地位。</w:t>
      </w:r>
      <w:r>
        <w:rPr>
          <w:rFonts w:ascii="仿宋" w:hAnsi="仿宋" w:eastAsia="仿宋" w:cs="仿宋"/>
          <w:b w:val="0"/>
          <w:sz w:val="30"/>
        </w:rPr>
        <w:t xml:space="preserve"> 该情节与下述格式条款的效力评价直接相关。</w:t>
      </w:r>
    </w:p>
    <w:p>
      <w:pPr>
        <w:spacing w:lineRule="exact" w:line="560" w:before="160" w:after="80"/>
      </w:pPr>
      <w:r>
        <w:rPr>
          <w:rFonts w:ascii="仿宋" w:hAnsi="仿宋" w:eastAsia="仿宋" w:cs="仿宋"/>
          <w:b/>
          <w:sz w:val="30"/>
        </w:rPr>
        <w:t>四、原告起诉状与其自身证据相互矛盾</w:t>
      </w:r>
    </w:p>
    <w:tbl>
      <w:tblPr>
        <w:tblW w:type="auto" w:w="0"/>
        <w:jc w:val="center"/>
        <w:tblLayout w:type="autofit"/>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910"/>
        <w:gridCol w:w="2910"/>
        <w:gridCol w:w="2910"/>
      </w:tblGrid>
      <w:tr>
        <w:tc>
          <w:tcPr>
            <w:tcW w:type="dxa" w:w="2910"/>
          </w:tcPr>
          <w:p>
            <w:pPr>
              <w:spacing w:lineRule="auto" w:line="240" w:before="20" w:after="20"/>
            </w:pPr>
            <w:r/>
            <w:r>
              <w:rPr>
                <w:rFonts w:ascii="仿宋" w:hAnsi="仿宋" w:eastAsia="仿宋" w:cs="仿宋"/>
                <w:b/>
                <w:sz w:val="21"/>
              </w:rPr>
              <w:t>事项</w:t>
            </w:r>
          </w:p>
        </w:tc>
        <w:tc>
          <w:tcPr>
            <w:tcW w:type="dxa" w:w="2910"/>
          </w:tcPr>
          <w:p>
            <w:pPr>
              <w:spacing w:lineRule="auto" w:line="240" w:before="20" w:after="20"/>
            </w:pPr>
            <w:r/>
            <w:r>
              <w:rPr>
                <w:rFonts w:ascii="仿宋" w:hAnsi="仿宋" w:eastAsia="仿宋" w:cs="仿宋"/>
                <w:b/>
                <w:sz w:val="21"/>
              </w:rPr>
              <w:t>《民事起诉状》</w:t>
            </w:r>
          </w:p>
        </w:tc>
        <w:tc>
          <w:tcPr>
            <w:tcW w:type="dxa" w:w="2910"/>
          </w:tcPr>
          <w:p>
            <w:pPr>
              <w:spacing w:lineRule="auto" w:line="240" w:before="20" w:after="20"/>
            </w:pPr>
            <w:r/>
            <w:r>
              <w:rPr>
                <w:rFonts w:ascii="仿宋" w:hAnsi="仿宋" w:eastAsia="仿宋" w:cs="仿宋"/>
                <w:b/>
                <w:sz w:val="21"/>
              </w:rPr>
              <w:t>个人协议</w:t>
            </w:r>
          </w:p>
        </w:tc>
      </w:tr>
      <w:tr>
        <w:tc>
          <w:tcPr>
            <w:tcW w:type="dxa" w:w="2910"/>
          </w:tcPr>
          <w:p>
            <w:pPr>
              <w:spacing w:lineRule="auto" w:line="240" w:before="20" w:after="20"/>
            </w:pPr>
            <w:r/>
            <w:r>
              <w:rPr>
                <w:rFonts w:ascii="仿宋" w:hAnsi="仿宋" w:eastAsia="仿宋" w:cs="仿宋"/>
                <w:b w:val="0"/>
                <w:sz w:val="21"/>
              </w:rPr>
              <w:t>协议日期</w:t>
            </w:r>
          </w:p>
        </w:tc>
        <w:tc>
          <w:tcPr>
            <w:tcW w:type="dxa" w:w="2910"/>
          </w:tcPr>
          <w:p>
            <w:pPr>
              <w:spacing w:lineRule="auto" w:line="240" w:before="20" w:after="20"/>
            </w:pPr>
            <w:r/>
            <w:r>
              <w:rPr>
                <w:rFonts w:ascii="仿宋" w:hAnsi="仿宋" w:eastAsia="仿宋" w:cs="仿宋"/>
                <w:b w:val="0"/>
                <w:sz w:val="21"/>
              </w:rPr>
              <w:t>2021年3月21日</w:t>
            </w:r>
          </w:p>
        </w:tc>
        <w:tc>
          <w:tcPr>
            <w:tcW w:type="dxa" w:w="2910"/>
          </w:tcPr>
          <w:p>
            <w:pPr>
              <w:spacing w:lineRule="auto" w:line="240" w:before="20" w:after="20"/>
            </w:pPr>
            <w:r/>
            <w:r>
              <w:rPr>
                <w:rFonts w:ascii="仿宋" w:hAnsi="仿宋" w:eastAsia="仿宋" w:cs="仿宋"/>
                <w:b w:val="0"/>
                <w:sz w:val="21"/>
              </w:rPr>
              <w:t>第1、12页载2021年3月31日</w:t>
            </w:r>
          </w:p>
        </w:tc>
      </w:tr>
      <w:tr>
        <w:tc>
          <w:tcPr>
            <w:tcW w:type="dxa" w:w="2910"/>
          </w:tcPr>
          <w:p>
            <w:pPr>
              <w:spacing w:lineRule="auto" w:line="240" w:before="20" w:after="20"/>
            </w:pPr>
            <w:r/>
            <w:r>
              <w:rPr>
                <w:rFonts w:ascii="仿宋" w:hAnsi="仿宋" w:eastAsia="仿宋" w:cs="仿宋"/>
                <w:b w:val="0"/>
                <w:sz w:val="21"/>
              </w:rPr>
              <w:t>房屋面积</w:t>
            </w:r>
          </w:p>
        </w:tc>
        <w:tc>
          <w:tcPr>
            <w:tcW w:type="dxa" w:w="2910"/>
          </w:tcPr>
          <w:p>
            <w:pPr>
              <w:spacing w:lineRule="auto" w:line="240" w:before="20" w:after="20"/>
            </w:pPr>
            <w:r/>
            <w:r>
              <w:rPr>
                <w:rFonts w:ascii="仿宋" w:hAnsi="仿宋" w:eastAsia="仿宋" w:cs="仿宋"/>
                <w:b w:val="0"/>
                <w:sz w:val="21"/>
              </w:rPr>
              <w:t>91.97㎡</w:t>
            </w:r>
          </w:p>
        </w:tc>
        <w:tc>
          <w:tcPr>
            <w:tcW w:type="dxa" w:w="2910"/>
          </w:tcPr>
          <w:p>
            <w:pPr>
              <w:spacing w:lineRule="auto" w:line="240" w:before="20" w:after="20"/>
            </w:pPr>
            <w:r/>
            <w:r>
              <w:rPr>
                <w:rFonts w:ascii="仿宋" w:hAnsi="仿宋" w:eastAsia="仿宋" w:cs="仿宋"/>
                <w:b w:val="0"/>
                <w:sz w:val="21"/>
              </w:rPr>
              <w:t>第1、12页载112.38㎡</w:t>
            </w:r>
          </w:p>
        </w:tc>
      </w:tr>
    </w:tbl>
    <w:p/>
    <w:p>
      <w:pPr>
        <w:spacing w:lineRule="exact" w:line="560" w:before="40" w:after="40"/>
        <w:ind w:firstLine="600"/>
        <w:jc w:val="both"/>
      </w:pPr>
      <w:r>
        <w:rPr>
          <w:rFonts w:ascii="仿宋" w:hAnsi="仿宋" w:eastAsia="仿宋" w:cs="仿宋"/>
          <w:b/>
          <w:sz w:val="30"/>
        </w:rPr>
        <w:t>原告对同一份自己提交的证据，在起诉状中作出了不同记载。</w:t>
      </w:r>
      <w:r>
        <w:rPr>
          <w:rFonts w:ascii="仿宋" w:hAnsi="仿宋" w:eastAsia="仿宋" w:cs="仿宋"/>
          <w:b w:val="0"/>
          <w:sz w:val="30"/>
        </w:rPr>
        <w:t xml:space="preserve"> 而面积直接决定计费基数。原告主张的10,384.08元虽可按247.24元×42个月复算，但</w:t>
      </w:r>
      <w:r>
        <w:rPr>
          <w:rFonts w:ascii="仿宋" w:hAnsi="仿宋" w:eastAsia="仿宋" w:cs="仿宋"/>
          <w:b/>
          <w:sz w:val="30"/>
        </w:rPr>
        <w:t>该组计费参数本身即存在自相矛盾</w:t>
      </w:r>
      <w:r>
        <w:rPr>
          <w:rFonts w:ascii="仿宋" w:hAnsi="仿宋" w:eastAsia="仿宋" w:cs="仿宋"/>
          <w:b w:val="0"/>
          <w:sz w:val="30"/>
        </w:rPr>
        <w:t>，原告应先行说明并举证。</w:t>
      </w:r>
    </w:p>
    <w:p>
      <w:pPr>
        <w:spacing w:lineRule="exact" w:line="560" w:before="160" w:after="80"/>
      </w:pPr>
      <w:r>
        <w:rPr>
          <w:rFonts w:ascii="仿宋" w:hAnsi="仿宋" w:eastAsia="仿宋" w:cs="仿宋"/>
          <w:b/>
          <w:sz w:val="30"/>
        </w:rPr>
        <w:t>五、格式条款</w:t>
      </w:r>
    </w:p>
    <w:p>
      <w:pPr>
        <w:spacing w:lineRule="exact" w:line="560" w:before="40" w:after="40"/>
        <w:ind w:firstLine="600"/>
        <w:jc w:val="both"/>
      </w:pPr>
      <w:r>
        <w:rPr>
          <w:rFonts w:ascii="仿宋" w:hAnsi="仿宋" w:eastAsia="仿宋" w:cs="仿宋"/>
          <w:b w:val="0"/>
          <w:sz w:val="30"/>
        </w:rPr>
        <w:t>个人协议中下列条款系原告预先拟定、未与被告协商，且与业主有重大利害关系：</w:t>
      </w:r>
    </w:p>
    <w:tbl>
      <w:tblPr>
        <w:tblW w:type="auto" w:w="0"/>
        <w:jc w:val="center"/>
        <w:tblLayout w:type="autofit"/>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365"/>
        <w:gridCol w:w="4365"/>
      </w:tblGrid>
      <w:tr>
        <w:tc>
          <w:tcPr>
            <w:tcW w:type="dxa" w:w="4365"/>
          </w:tcPr>
          <w:p>
            <w:pPr>
              <w:spacing w:lineRule="auto" w:line="240" w:before="20" w:after="20"/>
            </w:pPr>
            <w:r/>
            <w:r>
              <w:rPr>
                <w:rFonts w:ascii="仿宋" w:hAnsi="仿宋" w:eastAsia="仿宋" w:cs="仿宋"/>
                <w:b/>
                <w:sz w:val="21"/>
              </w:rPr>
              <w:t>位置</w:t>
            </w:r>
          </w:p>
        </w:tc>
        <w:tc>
          <w:tcPr>
            <w:tcW w:type="dxa" w:w="4365"/>
          </w:tcPr>
          <w:p>
            <w:pPr>
              <w:spacing w:lineRule="auto" w:line="240" w:before="20" w:after="20"/>
            </w:pPr>
            <w:r/>
            <w:r>
              <w:rPr>
                <w:rFonts w:ascii="仿宋" w:hAnsi="仿宋" w:eastAsia="仿宋" w:cs="仿宋"/>
                <w:b/>
                <w:sz w:val="21"/>
              </w:rPr>
              <w:t>条款</w:t>
            </w:r>
          </w:p>
        </w:tc>
      </w:tr>
      <w:tr>
        <w:tc>
          <w:tcPr>
            <w:tcW w:type="dxa" w:w="4365"/>
          </w:tcPr>
          <w:p>
            <w:pPr>
              <w:spacing w:lineRule="auto" w:line="240" w:before="20" w:after="20"/>
            </w:pPr>
            <w:r/>
            <w:r>
              <w:rPr>
                <w:rFonts w:ascii="仿宋" w:hAnsi="仿宋" w:eastAsia="仿宋" w:cs="仿宋"/>
                <w:b w:val="0"/>
                <w:sz w:val="21"/>
              </w:rPr>
              <w:t>第5页</w:t>
            </w:r>
          </w:p>
        </w:tc>
        <w:tc>
          <w:tcPr>
            <w:tcW w:type="dxa" w:w="4365"/>
          </w:tcPr>
          <w:p>
            <w:pPr>
              <w:spacing w:lineRule="auto" w:line="240" w:before="20" w:after="20"/>
            </w:pPr>
            <w:r/>
            <w:r>
              <w:rPr>
                <w:rFonts w:ascii="仿宋" w:hAnsi="仿宋" w:eastAsia="仿宋" w:cs="仿宋"/>
                <w:b w:val="0"/>
                <w:sz w:val="21"/>
              </w:rPr>
              <w:t>拟制送达</w:t>
            </w:r>
          </w:p>
        </w:tc>
      </w:tr>
      <w:tr>
        <w:tc>
          <w:tcPr>
            <w:tcW w:type="dxa" w:w="4365"/>
          </w:tcPr>
          <w:p>
            <w:pPr>
              <w:spacing w:lineRule="auto" w:line="240" w:before="20" w:after="20"/>
            </w:pPr>
            <w:r/>
            <w:r>
              <w:rPr>
                <w:rFonts w:ascii="仿宋" w:hAnsi="仿宋" w:eastAsia="仿宋" w:cs="仿宋"/>
                <w:b w:val="0"/>
                <w:sz w:val="21"/>
              </w:rPr>
              <w:t>第7、11页</w:t>
            </w:r>
          </w:p>
        </w:tc>
        <w:tc>
          <w:tcPr>
            <w:tcW w:type="dxa" w:w="4365"/>
          </w:tcPr>
          <w:p>
            <w:pPr>
              <w:spacing w:lineRule="auto" w:line="240" w:before="20" w:after="20"/>
            </w:pPr>
            <w:r/>
            <w:r>
              <w:rPr>
                <w:rFonts w:ascii="仿宋" w:hAnsi="仿宋" w:eastAsia="仿宋" w:cs="仿宋"/>
                <w:b w:val="0"/>
                <w:sz w:val="21"/>
              </w:rPr>
              <w:t>日5‰违约金（年化182.5%）</w:t>
            </w:r>
          </w:p>
        </w:tc>
      </w:tr>
      <w:tr>
        <w:tc>
          <w:tcPr>
            <w:tcW w:type="dxa" w:w="4365"/>
          </w:tcPr>
          <w:p>
            <w:pPr>
              <w:spacing w:lineRule="auto" w:line="240" w:before="20" w:after="20"/>
            </w:pPr>
            <w:r/>
            <w:r>
              <w:rPr>
                <w:rFonts w:ascii="仿宋" w:hAnsi="仿宋" w:eastAsia="仿宋" w:cs="仿宋"/>
                <w:b w:val="0"/>
                <w:sz w:val="21"/>
              </w:rPr>
              <w:t>第9—10页</w:t>
            </w:r>
          </w:p>
        </w:tc>
        <w:tc>
          <w:tcPr>
            <w:tcW w:type="dxa" w:w="4365"/>
          </w:tcPr>
          <w:p>
            <w:pPr>
              <w:spacing w:lineRule="auto" w:line="240" w:before="20" w:after="20"/>
            </w:pPr>
            <w:r/>
            <w:r>
              <w:rPr>
                <w:rFonts w:ascii="仿宋" w:hAnsi="仿宋" w:eastAsia="仿宋" w:cs="仿宋"/>
                <w:b w:val="0"/>
                <w:sz w:val="21"/>
              </w:rPr>
              <w:t>广泛免责</w:t>
            </w:r>
          </w:p>
        </w:tc>
      </w:tr>
      <w:tr>
        <w:tc>
          <w:tcPr>
            <w:tcW w:type="dxa" w:w="4365"/>
          </w:tcPr>
          <w:p>
            <w:pPr>
              <w:spacing w:lineRule="auto" w:line="240" w:before="20" w:after="20"/>
            </w:pPr>
            <w:r/>
            <w:r>
              <w:rPr>
                <w:rFonts w:ascii="仿宋" w:hAnsi="仿宋" w:eastAsia="仿宋" w:cs="仿宋"/>
                <w:b w:val="0"/>
                <w:sz w:val="21"/>
              </w:rPr>
              <w:t>第11页</w:t>
            </w:r>
          </w:p>
        </w:tc>
        <w:tc>
          <w:tcPr>
            <w:tcW w:type="dxa" w:w="4365"/>
          </w:tcPr>
          <w:p>
            <w:pPr>
              <w:spacing w:lineRule="auto" w:line="240" w:before="20" w:after="20"/>
            </w:pPr>
            <w:r/>
            <w:r>
              <w:rPr>
                <w:rFonts w:ascii="仿宋" w:hAnsi="仿宋" w:eastAsia="仿宋" w:cs="仿宋"/>
                <w:b w:val="0"/>
                <w:sz w:val="21"/>
              </w:rPr>
              <w:t>律师费承担</w:t>
            </w:r>
          </w:p>
        </w:tc>
      </w:tr>
    </w:tbl>
    <w:p/>
    <w:p>
      <w:pPr>
        <w:spacing w:lineRule="exact" w:line="560" w:before="40" w:after="40"/>
        <w:ind w:firstLine="600"/>
        <w:jc w:val="both"/>
      </w:pPr>
      <w:r>
        <w:rPr>
          <w:rFonts w:ascii="仿宋" w:hAnsi="仿宋" w:eastAsia="仿宋" w:cs="仿宋"/>
          <w:b w:val="0"/>
          <w:sz w:val="30"/>
        </w:rPr>
        <w:t>依《中华人民共和国民法典》第四百九十六条第二款及《合同编通则解释》第十条，</w:t>
      </w:r>
      <w:r>
        <w:rPr>
          <w:rFonts w:ascii="仿宋" w:hAnsi="仿宋" w:eastAsia="仿宋" w:cs="仿宋"/>
          <w:b/>
          <w:sz w:val="30"/>
        </w:rPr>
        <w:t>原告应当证明其已就上述条款履行提示说明义务</w:t>
      </w:r>
      <w:r>
        <w:rPr>
          <w:rFonts w:ascii="仿宋" w:hAnsi="仿宋" w:eastAsia="仿宋" w:cs="仿宋"/>
          <w:b w:val="0"/>
          <w:sz w:val="30"/>
        </w:rPr>
        <w:t>；未能证明的，被告主张该等条款不成为合同内容。</w:t>
      </w:r>
    </w:p>
    <w:p>
      <w:pPr>
        <w:spacing w:lineRule="exact" w:line="560" w:before="40" w:after="40"/>
        <w:ind w:firstLine="600"/>
        <w:jc w:val="both"/>
      </w:pPr>
      <w:r>
        <w:rPr>
          <w:rFonts w:ascii="仿宋" w:hAnsi="仿宋" w:eastAsia="仿宋" w:cs="仿宋"/>
          <w:b/>
          <w:sz w:val="30"/>
        </w:rPr>
        <w:t>被告说明：原告本案诉请未列违约金与律师费，故被告仅就上述条款保留异议，不请求对整份协议作无效判断。</w:t>
      </w:r>
    </w:p>
    <w:p>
      <w:pPr>
        <w:spacing w:lineRule="exact" w:line="560" w:before="160" w:after="80"/>
      </w:pPr>
      <w:r>
        <w:rPr>
          <w:rFonts w:ascii="仿宋" w:hAnsi="仿宋" w:eastAsia="仿宋" w:cs="仿宋"/>
          <w:b/>
          <w:sz w:val="30"/>
        </w:rPr>
        <w:t>六、微信聊天记录不能证明催告与债务承认</w:t>
      </w:r>
    </w:p>
    <w:p>
      <w:pPr>
        <w:spacing w:lineRule="exact" w:line="560" w:before="40" w:after="40"/>
        <w:ind w:firstLine="600"/>
        <w:jc w:val="both"/>
      </w:pPr>
      <w:r>
        <w:rPr>
          <w:rFonts w:ascii="仿宋" w:hAnsi="仿宋" w:eastAsia="仿宋" w:cs="仿宋"/>
          <w:b/>
          <w:sz w:val="30"/>
        </w:rPr>
        <w:t>真实性：</w:t>
      </w:r>
      <w:r>
        <w:rPr>
          <w:rFonts w:ascii="仿宋" w:hAnsi="仿宋" w:eastAsia="仿宋" w:cs="仿宋"/>
          <w:b w:val="0"/>
          <w:sz w:val="30"/>
        </w:rPr>
        <w:t xml:space="preserve"> 原告提交的是打印拼图，非原始电子数据。依《最高人民法院关于民事诉讼证据的若干规定》第九十三条、第九十四条，请求本院要求原告以形成截图的</w:t>
      </w:r>
      <w:r>
        <w:rPr>
          <w:rFonts w:ascii="仿宋" w:hAnsi="仿宋" w:eastAsia="仿宋" w:cs="仿宋"/>
          <w:b/>
          <w:sz w:val="30"/>
        </w:rPr>
        <w:t>原始设备</w:t>
      </w:r>
      <w:r>
        <w:rPr>
          <w:rFonts w:ascii="仿宋" w:hAnsi="仿宋" w:eastAsia="仿宋" w:cs="仿宋"/>
          <w:b w:val="0"/>
          <w:sz w:val="30"/>
        </w:rPr>
        <w:t>当庭登录展示：联系人资料页、完整上下文、全部物业费沟通记录、转账详情及文件形成过程。</w:t>
      </w:r>
    </w:p>
    <w:p>
      <w:pPr>
        <w:spacing w:lineRule="exact" w:line="560" w:before="40" w:after="40"/>
        <w:ind w:firstLine="600"/>
        <w:jc w:val="both"/>
      </w:pPr>
      <w:r>
        <w:rPr>
          <w:rFonts w:ascii="仿宋" w:hAnsi="仿宋" w:eastAsia="仿宋" w:cs="仿宋"/>
          <w:b/>
          <w:sz w:val="30"/>
        </w:rPr>
        <w:t>关联性：</w:t>
      </w:r>
      <w:r>
        <w:rPr>
          <w:rFonts w:ascii="仿宋" w:hAnsi="仿宋" w:eastAsia="仿宋" w:cs="仿宋"/>
          <w:b w:val="0"/>
          <w:sz w:val="30"/>
        </w:rPr>
        <w:t xml:space="preserve"> 截图中联系人仅标注"12栋1单元503"，原告在对话中称对方为"美女""李姐""李女士"，</w:t>
      </w:r>
      <w:r>
        <w:rPr>
          <w:rFonts w:ascii="仿宋" w:hAnsi="仿宋" w:eastAsia="仿宋" w:cs="仿宋"/>
          <w:b/>
          <w:sz w:val="30"/>
        </w:rPr>
        <w:t>不能自动对应男性的被告李国平</w:t>
      </w:r>
      <w:r>
        <w:rPr>
          <w:rFonts w:ascii="仿宋" w:hAnsi="仿宋" w:eastAsia="仿宋" w:cs="仿宋"/>
          <w:b w:val="0"/>
          <w:sz w:val="30"/>
        </w:rPr>
        <w:t>。原告应先证明该账号的实际使用人及其与被告之间的授权关系。</w:t>
      </w:r>
    </w:p>
    <w:p>
      <w:pPr>
        <w:spacing w:lineRule="exact" w:line="560" w:before="40" w:after="40"/>
        <w:ind w:firstLine="600"/>
        <w:jc w:val="both"/>
      </w:pPr>
      <w:r>
        <w:rPr>
          <w:rFonts w:ascii="仿宋" w:hAnsi="仿宋" w:eastAsia="仿宋" w:cs="仿宋"/>
          <w:b/>
          <w:sz w:val="30"/>
        </w:rPr>
        <w:t>证明力：</w:t>
      </w:r>
      <w:r>
        <w:rPr>
          <w:rFonts w:ascii="仿宋" w:hAnsi="仿宋" w:eastAsia="仿宋" w:cs="仿宋"/>
          <w:b w:val="0"/>
          <w:sz w:val="30"/>
        </w:rPr>
        <w:t xml:space="preserve"> 原告单方发送费率与"暂交到2022-12-31"，不等于被告确认；截图中</w:t>
      </w:r>
      <w:r>
        <w:rPr>
          <w:rFonts w:ascii="仿宋" w:hAnsi="仿宋" w:eastAsia="仿宋" w:cs="仿宋"/>
          <w:b/>
          <w:sz w:val="30"/>
        </w:rPr>
        <w:t>没有被告承诺付款的回复</w:t>
      </w:r>
      <w:r>
        <w:rPr>
          <w:rFonts w:ascii="仿宋" w:hAnsi="仿宋" w:eastAsia="仿宋" w:cs="仿宋"/>
          <w:b w:val="0"/>
          <w:sz w:val="30"/>
        </w:rPr>
        <w:t>，不能证明债务承认或时效中断；亦无交易凭证，不能证明2021—2022年费用由谁支付。</w:t>
      </w:r>
    </w:p>
    <w:p>
      <w:pPr>
        <w:spacing w:lineRule="exact" w:line="560" w:before="160" w:after="80"/>
      </w:pPr>
      <w:r>
        <w:rPr>
          <w:rFonts w:ascii="仿宋" w:hAnsi="仿宋" w:eastAsia="仿宋" w:cs="仿宋"/>
          <w:b/>
          <w:sz w:val="30"/>
        </w:rPr>
        <w:t>七、诉讼时效</w:t>
      </w:r>
    </w:p>
    <w:p>
      <w:pPr>
        <w:spacing w:lineRule="exact" w:line="560" w:before="40" w:after="40"/>
        <w:ind w:firstLine="600"/>
        <w:jc w:val="both"/>
      </w:pPr>
      <w:r>
        <w:rPr>
          <w:rFonts w:ascii="仿宋" w:hAnsi="仿宋" w:eastAsia="仿宋" w:cs="仿宋"/>
          <w:b w:val="0"/>
          <w:sz w:val="30"/>
        </w:rPr>
        <w:t>原告主张的计费期间跨42个月，本案于</w:t>
      </w:r>
      <w:r>
        <w:rPr>
          <w:rFonts w:ascii="仿宋" w:hAnsi="仿宋" w:eastAsia="仿宋" w:cs="仿宋"/>
          <w:b/>
          <w:sz w:val="30"/>
        </w:rPr>
        <w:t>2026年8月5日</w:t>
      </w:r>
      <w:r>
        <w:rPr>
          <w:rFonts w:ascii="仿宋" w:hAnsi="仿宋" w:eastAsia="仿宋" w:cs="仿宋"/>
          <w:b w:val="0"/>
          <w:sz w:val="30"/>
        </w:rPr>
        <w:t>立案。</w:t>
      </w:r>
    </w:p>
    <w:p>
      <w:pPr>
        <w:spacing w:lineRule="exact" w:line="560" w:before="40" w:after="40"/>
        <w:ind w:firstLine="600"/>
        <w:jc w:val="both"/>
      </w:pPr>
      <w:r>
        <w:rPr>
          <w:rFonts w:ascii="仿宋" w:hAnsi="仿宋" w:eastAsia="仿宋" w:cs="仿宋"/>
          <w:b w:val="0"/>
          <w:sz w:val="30"/>
        </w:rPr>
        <w:t>依《民法典》第一百八十八条，普通诉讼时效期间为三年，自权利人知道或者应当知道权利受到损害之日起计算。物业费按期发生，</w:t>
      </w:r>
      <w:r>
        <w:rPr>
          <w:rFonts w:ascii="仿宋" w:hAnsi="仿宋" w:eastAsia="仿宋" w:cs="仿宋"/>
          <w:b/>
          <w:sz w:val="30"/>
        </w:rPr>
        <w:t>应逐期计算时效</w:t>
      </w:r>
      <w:r>
        <w:rPr>
          <w:rFonts w:ascii="仿宋" w:hAnsi="仿宋" w:eastAsia="仿宋" w:cs="仿宋"/>
          <w:b w:val="0"/>
          <w:sz w:val="30"/>
        </w:rPr>
        <w:t>。</w:t>
      </w:r>
    </w:p>
    <w:p>
      <w:pPr>
        <w:spacing w:lineRule="exact" w:line="560" w:before="40" w:after="40"/>
        <w:ind w:firstLine="600"/>
        <w:jc w:val="both"/>
      </w:pPr>
      <w:r>
        <w:rPr>
          <w:rFonts w:ascii="仿宋" w:hAnsi="仿宋" w:eastAsia="仿宋" w:cs="仿宋"/>
          <w:b w:val="0"/>
          <w:sz w:val="30"/>
        </w:rPr>
        <w:t>原告提交的微信截图形成于</w:t>
      </w:r>
      <w:r>
        <w:rPr>
          <w:rFonts w:ascii="仿宋" w:hAnsi="仿宋" w:eastAsia="仿宋" w:cs="仿宋"/>
          <w:b/>
          <w:sz w:val="30"/>
        </w:rPr>
        <w:t>2023年3月31日</w:t>
      </w:r>
      <w:r>
        <w:rPr>
          <w:rFonts w:ascii="仿宋" w:hAnsi="仿宋" w:eastAsia="仿宋" w:cs="仿宋"/>
          <w:b w:val="0"/>
          <w:sz w:val="30"/>
        </w:rPr>
        <w:t>。即使认定其对2023年上半年费用构成有效催告并发生时效中断，</w:t>
      </w:r>
      <w:r>
        <w:rPr>
          <w:rFonts w:ascii="仿宋" w:hAnsi="仿宋" w:eastAsia="仿宋" w:cs="仿宋"/>
          <w:b/>
          <w:sz w:val="30"/>
        </w:rPr>
        <w:t>至2026年8月5日立案时，该中断后重新起算的三年期间亦已届满</w:t>
      </w:r>
      <w:r>
        <w:rPr>
          <w:rFonts w:ascii="仿宋" w:hAnsi="仿宋" w:eastAsia="仿宋" w:cs="仿宋"/>
          <w:b w:val="0"/>
          <w:sz w:val="30"/>
        </w:rPr>
        <w:t>；而2023年下半年费用在截图形成时尚未到期，不能以该信息中断尚未起算的期间。</w:t>
      </w:r>
    </w:p>
    <w:p>
      <w:pPr>
        <w:spacing w:lineRule="exact" w:line="560" w:before="40" w:after="40"/>
        <w:ind w:firstLine="600"/>
        <w:jc w:val="both"/>
      </w:pPr>
      <w:r>
        <w:rPr>
          <w:rFonts w:ascii="仿宋" w:hAnsi="仿宋" w:eastAsia="仿宋" w:cs="仿宋"/>
          <w:b/>
          <w:sz w:val="30"/>
        </w:rPr>
        <w:t>恳请本院责令原告就每一期费用分别说明其时效主张及依据。</w:t>
      </w:r>
    </w:p>
    <w:p>
      <w:pPr>
        <w:spacing w:lineRule="exact" w:line="560" w:before="160" w:after="80"/>
      </w:pPr>
      <w:r>
        <w:rPr>
          <w:rFonts w:ascii="仿宋" w:hAnsi="仿宋" w:eastAsia="仿宋" w:cs="仿宋"/>
          <w:b/>
          <w:sz w:val="30"/>
        </w:rPr>
        <w:t>八、金额与账目</w:t>
      </w:r>
    </w:p>
    <w:p>
      <w:pPr>
        <w:spacing w:lineRule="exact" w:line="560" w:before="40" w:after="40"/>
        <w:ind w:firstLine="600"/>
        <w:jc w:val="both"/>
      </w:pPr>
      <w:r>
        <w:rPr>
          <w:rFonts w:ascii="仿宋" w:hAnsi="仿宋" w:eastAsia="仿宋" w:cs="仿宋"/>
          <w:b w:val="0"/>
          <w:sz w:val="30"/>
        </w:rPr>
        <w:t>原告应就下列事项举证：</w:t>
      </w:r>
    </w:p>
    <w:p>
      <w:pPr>
        <w:spacing w:lineRule="exact" w:line="560" w:before="20" w:after="20"/>
        <w:ind w:left="600"/>
      </w:pPr>
      <w:r>
        <w:rPr>
          <w:rFonts w:ascii="仿宋" w:hAnsi="仿宋" w:eastAsia="仿宋" w:cs="仿宋"/>
          <w:b w:val="0"/>
          <w:sz w:val="30"/>
        </w:rPr>
        <w:t>1.　月费247.24元的计算方式与舍入规则；</w:t>
      </w:r>
    </w:p>
    <w:p>
      <w:pPr>
        <w:spacing w:lineRule="exact" w:line="560" w:before="20" w:after="20"/>
        <w:ind w:left="600"/>
      </w:pPr>
      <w:r>
        <w:rPr>
          <w:rFonts w:ascii="仿宋" w:hAnsi="仿宋" w:eastAsia="仿宋" w:cs="仿宋"/>
          <w:b w:val="0"/>
          <w:sz w:val="30"/>
        </w:rPr>
        <w:t>2.　各半年度的到期日；</w:t>
      </w:r>
    </w:p>
    <w:p>
      <w:pPr>
        <w:spacing w:lineRule="exact" w:line="560" w:before="20" w:after="20"/>
        <w:ind w:left="600"/>
      </w:pPr>
      <w:r>
        <w:rPr>
          <w:rFonts w:ascii="仿宋" w:hAnsi="仿宋" w:eastAsia="仿宋" w:cs="仿宋"/>
          <w:b w:val="0"/>
          <w:sz w:val="30"/>
        </w:rPr>
        <w:t>3.　计费金额中是否包含物业费以外的其他费用；</w:t>
      </w:r>
    </w:p>
    <w:p>
      <w:pPr>
        <w:spacing w:lineRule="exact" w:line="560" w:before="20" w:after="20"/>
        <w:ind w:left="600"/>
      </w:pPr>
      <w:r>
        <w:rPr>
          <w:rFonts w:ascii="仿宋" w:hAnsi="仿宋" w:eastAsia="仿宋" w:cs="仿宋"/>
          <w:b w:val="0"/>
          <w:sz w:val="30"/>
        </w:rPr>
        <w:t>4.　42个月期间的逐期记账凭证、收款流水、发票、减免与核销记录；</w:t>
      </w:r>
    </w:p>
    <w:p>
      <w:pPr>
        <w:spacing w:lineRule="exact" w:line="560" w:before="20" w:after="20"/>
        <w:ind w:left="600"/>
      </w:pPr>
      <w:r>
        <w:rPr>
          <w:rFonts w:ascii="仿宋" w:hAnsi="仿宋" w:eastAsia="仿宋" w:cs="仿宋"/>
          <w:b w:val="0"/>
          <w:sz w:val="30"/>
        </w:rPr>
        <w:t>5.　期初与期末余额的形成过程。</w:t>
      </w:r>
    </w:p>
    <w:p>
      <w:pPr>
        <w:spacing w:lineRule="exact" w:line="560" w:before="40" w:after="40"/>
        <w:ind w:firstLine="600"/>
        <w:jc w:val="both"/>
      </w:pPr>
      <w:r>
        <w:rPr>
          <w:rFonts w:ascii="仿宋" w:hAnsi="仿宋" w:eastAsia="仿宋" w:cs="仿宋"/>
          <w:b/>
          <w:sz w:val="30"/>
        </w:rPr>
        <w:t>无法与客观账务流水核验的单方欠费明细，不足以单独认定债权数额。</w:t>
      </w:r>
    </w:p>
    <w:p>
      <w:pPr>
        <w:spacing w:lineRule="exact" w:line="560" w:before="160" w:after="80"/>
      </w:pPr>
      <w:r>
        <w:rPr>
          <w:rFonts w:ascii="仿宋" w:hAnsi="仿宋" w:eastAsia="仿宋" w:cs="仿宋"/>
          <w:b/>
          <w:sz w:val="30"/>
        </w:rPr>
        <w:t>九、关于基础合同效力争议正在另案审理</w:t>
      </w:r>
    </w:p>
    <w:p>
      <w:pPr>
        <w:spacing w:lineRule="exact" w:line="560" w:before="40" w:after="40"/>
        <w:ind w:firstLine="600"/>
        <w:jc w:val="both"/>
      </w:pPr>
      <w:r>
        <w:rPr>
          <w:rFonts w:ascii="仿宋" w:hAnsi="仿宋" w:eastAsia="仿宋" w:cs="仿宋"/>
          <w:b w:val="0"/>
          <w:sz w:val="30"/>
        </w:rPr>
        <w:t>被告已就案涉《前期物业服务合同》的效力提起诉讼，（2025）湘0105民初27046号一审判决后，被告已提起上诉，二审案号（2026）湘01民终13074号，</w:t>
      </w:r>
      <w:r>
        <w:rPr>
          <w:rFonts w:ascii="仿宋" w:hAnsi="仿宋" w:eastAsia="仿宋" w:cs="仿宋"/>
          <w:b/>
          <w:sz w:val="30"/>
        </w:rPr>
        <w:t>现尚未终审</w:t>
      </w:r>
      <w:r>
        <w:rPr>
          <w:rFonts w:ascii="仿宋" w:hAnsi="仿宋" w:eastAsia="仿宋" w:cs="仿宋"/>
          <w:b w:val="0"/>
          <w:sz w:val="30"/>
        </w:rPr>
        <w:t>。</w:t>
      </w:r>
    </w:p>
    <w:p>
      <w:pPr>
        <w:spacing w:lineRule="exact" w:line="560" w:before="40" w:after="40"/>
        <w:ind w:firstLine="600"/>
        <w:jc w:val="both"/>
      </w:pPr>
      <w:r>
        <w:rPr>
          <w:rFonts w:ascii="仿宋" w:hAnsi="仿宋" w:eastAsia="仿宋" w:cs="仿宋"/>
          <w:b w:val="0"/>
          <w:sz w:val="30"/>
        </w:rPr>
        <w:t>被告说明：</w:t>
      </w:r>
      <w:r>
        <w:rPr>
          <w:rFonts w:ascii="仿宋" w:hAnsi="仿宋" w:eastAsia="仿宋" w:cs="仿宋"/>
          <w:b/>
          <w:sz w:val="30"/>
        </w:rPr>
        <w:t>被告不以另案未决为由请求中止本案审理</w:t>
      </w:r>
      <w:r>
        <w:rPr>
          <w:rFonts w:ascii="仿宋" w:hAnsi="仿宋" w:eastAsia="仿宋" w:cs="仿宋"/>
          <w:b w:val="0"/>
          <w:sz w:val="30"/>
        </w:rPr>
        <w:t>，而是主张——在原告未提交基础合同、且该合同效力尚处争议状态的情况下，原告更应当先行完成其对债权成立的举证。</w:t>
      </w:r>
    </w:p>
    <w:p>
      <w:pPr>
        <w:spacing w:lineRule="exact" w:line="560" w:before="160" w:after="80"/>
      </w:pPr>
      <w:r>
        <w:rPr>
          <w:rFonts w:ascii="仿宋" w:hAnsi="仿宋" w:eastAsia="仿宋" w:cs="仿宋"/>
          <w:b/>
          <w:sz w:val="30"/>
        </w:rPr>
        <w:t>抗辩结论</w:t>
      </w:r>
    </w:p>
    <w:p>
      <w:pPr>
        <w:spacing w:lineRule="exact" w:line="560" w:before="40" w:after="40"/>
        <w:ind w:firstLine="600"/>
        <w:jc w:val="both"/>
      </w:pPr>
      <w:r>
        <w:rPr>
          <w:rFonts w:ascii="仿宋" w:hAnsi="仿宋" w:eastAsia="仿宋" w:cs="仿宋"/>
          <w:b/>
          <w:sz w:val="30"/>
        </w:rPr>
        <w:t>原告现有证据不足以证明其主张的10,384.08元具体债权。</w:t>
      </w:r>
    </w:p>
    <w:p>
      <w:pPr>
        <w:spacing w:lineRule="exact" w:line="560" w:before="40" w:after="40"/>
        <w:ind w:firstLine="600"/>
        <w:jc w:val="both"/>
      </w:pPr>
      <w:r>
        <w:rPr>
          <w:rFonts w:ascii="仿宋" w:hAnsi="仿宋" w:eastAsia="仿宋" w:cs="仿宋"/>
          <w:b w:val="0"/>
          <w:sz w:val="30"/>
        </w:rPr>
        <w:t>恳请本院：</w:t>
      </w:r>
    </w:p>
    <w:p>
      <w:pPr>
        <w:spacing w:lineRule="exact" w:line="560" w:before="40" w:after="40"/>
        <w:ind w:firstLine="600"/>
        <w:jc w:val="both"/>
      </w:pPr>
      <w:r>
        <w:rPr>
          <w:rFonts w:ascii="仿宋" w:hAnsi="仿宋" w:eastAsia="仿宋" w:cs="仿宋"/>
          <w:b w:val="0"/>
          <w:sz w:val="30"/>
        </w:rPr>
        <w:t>一、责令原告提交个人《前期物业服务协议》原件、基础《前期物业服务合同》完整原件及附件、总公司授权文件、主体资格证明材料、收费账簿与原始收款凭证、价格主管部门核准或备案的收费标准文件，并以原始设备展示微信电子数据；</w:t>
      </w:r>
    </w:p>
    <w:p>
      <w:pPr>
        <w:spacing w:lineRule="exact" w:line="560" w:before="40" w:after="40"/>
        <w:ind w:firstLine="600"/>
        <w:jc w:val="both"/>
      </w:pPr>
      <w:r>
        <w:rPr>
          <w:rFonts w:ascii="仿宋" w:hAnsi="仿宋" w:eastAsia="仿宋" w:cs="仿宋"/>
          <w:b w:val="0"/>
          <w:sz w:val="30"/>
        </w:rPr>
        <w:t>二、在上述材料提交并经组织质证后，再行认定案件事实；</w:t>
      </w:r>
    </w:p>
    <w:p>
      <w:pPr>
        <w:spacing w:lineRule="exact" w:line="560" w:before="40" w:after="40"/>
        <w:ind w:firstLine="600"/>
        <w:jc w:val="both"/>
      </w:pPr>
      <w:r>
        <w:rPr>
          <w:rFonts w:ascii="仿宋" w:hAnsi="仿宋" w:eastAsia="仿宋" w:cs="仿宋"/>
          <w:b w:val="0"/>
          <w:sz w:val="30"/>
        </w:rPr>
        <w:t>三、</w:t>
      </w:r>
      <w:r>
        <w:rPr>
          <w:rFonts w:ascii="仿宋" w:hAnsi="仿宋" w:eastAsia="仿宋" w:cs="仿宋"/>
          <w:b/>
          <w:sz w:val="30"/>
        </w:rPr>
        <w:t>驳回原告的诉讼请求。</w:t>
      </w:r>
    </w:p>
    <w:p>
      <w:pPr>
        <w:spacing w:lineRule="exact" w:line="560" w:before="40" w:after="40"/>
        <w:ind w:firstLine="600"/>
        <w:jc w:val="both"/>
      </w:pPr>
      <w:r>
        <w:rPr>
          <w:rFonts w:ascii="仿宋" w:hAnsi="仿宋" w:eastAsia="仿宋" w:cs="仿宋"/>
          <w:b/>
          <w:sz w:val="30"/>
        </w:rPr>
        <w:t>被告：李国平</w:t>
      </w:r>
    </w:p>
    <w:p>
      <w:pPr>
        <w:spacing w:lineRule="exact" w:line="560" w:before="40" w:after="40"/>
        <w:ind w:firstLine="600"/>
        <w:jc w:val="both"/>
      </w:pPr>
      <w:r>
        <w:rPr>
          <w:rFonts w:ascii="仿宋" w:hAnsi="仿宋" w:eastAsia="仿宋" w:cs="仿宋"/>
          <w:b/>
          <w:sz w:val="30"/>
        </w:rPr>
        <w:t>2026年　月　日</w:t>
      </w:r>
    </w:p>
    <w:sectPr w:rsidR="00FC693F" w:rsidRPr="0006063C" w:rsidSect="00034616">
      <w:footerReference w:type="default" r:id="rId9"/>
      <w:pgSz w:w="11906" w:h="16838"/>
      <w:pgMar w:top="1417" w:right="1474"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仿宋" w:hAnsi="仿宋" w:eastAsia="仿宋" w:cs="仿宋"/>
        <w:b w:val="0"/>
        <w:sz w:val="21"/>
      </w:rPr>
      <w:t xml:space="preserve">— </w:t>
    </w:r>
    <w:fldSimple w:instr="PAGE">
      <w:r>
        <w:rPr>
          <w:rFonts w:ascii="仿宋" w:hAnsi="仿宋" w:eastAsia="仿宋"/>
          <w:sz w:val="21"/>
        </w:rPr>
      </w:r>
    </w:fldSimple>
    <w:r>
      <w:rPr>
        <w:rFonts w:ascii="仿宋" w:hAnsi="仿宋" w:eastAsia="仿宋" w:cs="仿宋"/>
        <w:b w:val="0"/>
        <w:sz w:val="21"/>
      </w:rPr>
      <w:t xml:space="preserve"> —</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hAnsi="仿宋" w:eastAsia="仿宋"/>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