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after="240"/>
        <w:ind w:firstLine="0"/>
        <w:jc w:val="center"/>
      </w:pPr>
      <w:r>
        <w:rPr>
          <w:rFonts w:ascii="宋体" w:hAnsi="宋体" w:eastAsia="宋体"/>
          <w:b/>
          <w:sz w:val="44"/>
        </w:rPr>
        <w:t>庭前程序申请提交顺序及操作指南</w:t>
      </w:r>
    </w:p>
    <w:p>
      <w:pPr>
        <w:ind w:firstLine="0"/>
      </w:pPr>
      <w:r>
        <w:rPr>
          <w:rFonts w:ascii="仿宋" w:hAnsi="仿宋" w:eastAsia="仿宋"/>
          <w:b w:val="0"/>
          <w:sz w:val="30"/>
        </w:rPr>
        <w:t>形成日期：2026年9月3日</w:t>
      </w:r>
    </w:p>
    <w:p>
      <w:pPr>
        <w:ind w:firstLine="0"/>
      </w:pPr>
      <w:r>
        <w:rPr>
          <w:rFonts w:ascii="仿宋" w:hAnsi="仿宋" w:eastAsia="仿宋"/>
          <w:b w:val="0"/>
          <w:sz w:val="30"/>
        </w:rPr>
        <w:t>案件：中铁建物业管理有限公司长沙分公司诉李国平物业服务合同纠纷</w:t>
      </w:r>
    </w:p>
    <w:p>
      <w:pPr>
        <w:ind w:firstLine="0"/>
      </w:pPr>
      <w:r>
        <w:rPr>
          <w:rFonts w:ascii="仿宋" w:hAnsi="仿宋" w:eastAsia="仿宋"/>
          <w:b w:val="0"/>
          <w:sz w:val="30"/>
        </w:rPr>
        <w:t>正式立案日期：2026年8月5日（当事人已向法院核实）</w:t>
      </w:r>
    </w:p>
    <w:p>
      <w:pPr>
        <w:ind w:firstLine="0"/>
      </w:pPr>
      <w:r>
        <w:rPr>
          <w:rFonts w:ascii="仿宋" w:hAnsi="仿宋" w:eastAsia="仿宋"/>
          <w:b w:val="0"/>
          <w:sz w:val="30"/>
        </w:rPr>
        <w:t>开庭日期：2026年10月10日（当事人已向法院核实）</w:t>
      </w:r>
    </w:p>
    <w:p>
      <w:pPr>
        <w:pStyle w:val="Heading2"/>
        <w:ind w:firstLine="0"/>
      </w:pPr>
      <w:r>
        <w:rPr>
          <w:rFonts w:ascii="仿宋" w:hAnsi="仿宋" w:eastAsia="仿宋"/>
          <w:b w:val="0"/>
          <w:sz w:val="30"/>
        </w:rPr>
        <w:t>一、提交顺序总表</w:t>
      </w:r>
    </w:p>
    <w:tbl>
      <w:tblPr>
        <w:tblStyle w:val="TableGrid"/>
        <w:tblW w:type="auto" w:w="0"/>
        <w:jc w:val="center"/>
        <w:tblLayout w:type="autofit"/>
        <w:tblLook w:firstColumn="1" w:firstRow="1" w:lastColumn="0" w:lastRow="0" w:noHBand="0" w:noVBand="1" w:val="04A0"/>
      </w:tblPr>
      <w:tblGrid>
        <w:gridCol w:w="1436"/>
        <w:gridCol w:w="1436"/>
        <w:gridCol w:w="1436"/>
        <w:gridCol w:w="1436"/>
        <w:gridCol w:w="1436"/>
        <w:gridCol w:w="1436"/>
      </w:tblGrid>
      <w:tr>
        <w:tc>
          <w:tcPr>
            <w:tcW w:type="dxa" w:w="1436"/>
            <w:vAlign w:val="center"/>
            <w:shd w:fill="D9EAF2"/>
          </w:tcPr>
          <w:p>
            <w:pPr>
              <w:spacing w:line="276" w:lineRule="auto"/>
              <w:ind w:firstLine="0"/>
              <w:jc w:val="left"/>
            </w:pPr>
            <w:r>
              <w:rPr>
                <w:rFonts w:ascii="宋体" w:hAnsi="宋体" w:eastAsia="宋体"/>
                <w:b/>
                <w:sz w:val="21"/>
              </w:rPr>
              <w:t>文件</w:t>
            </w:r>
          </w:p>
        </w:tc>
        <w:tc>
          <w:tcPr>
            <w:tcW w:type="dxa" w:w="1436"/>
            <w:vAlign w:val="center"/>
            <w:shd w:fill="D9EAF2"/>
          </w:tcPr>
          <w:p>
            <w:pPr>
              <w:spacing w:line="276" w:lineRule="auto"/>
              <w:ind w:firstLine="0"/>
              <w:jc w:val="left"/>
            </w:pPr>
            <w:r>
              <w:rPr>
                <w:rFonts w:ascii="宋体" w:hAnsi="宋体" w:eastAsia="宋体"/>
                <w:b/>
                <w:sz w:val="21"/>
              </w:rPr>
              <w:t>优先级</w:t>
            </w:r>
          </w:p>
        </w:tc>
        <w:tc>
          <w:tcPr>
            <w:tcW w:type="dxa" w:w="1436"/>
            <w:vAlign w:val="center"/>
            <w:shd w:fill="D9EAF2"/>
          </w:tcPr>
          <w:p>
            <w:pPr>
              <w:spacing w:line="276" w:lineRule="auto"/>
              <w:ind w:firstLine="0"/>
              <w:jc w:val="left"/>
            </w:pPr>
            <w:r>
              <w:rPr>
                <w:rFonts w:ascii="宋体" w:hAnsi="宋体" w:eastAsia="宋体"/>
                <w:b/>
                <w:sz w:val="21"/>
              </w:rPr>
              <w:t>现在是否提交</w:t>
            </w:r>
          </w:p>
        </w:tc>
        <w:tc>
          <w:tcPr>
            <w:tcW w:type="dxa" w:w="1436"/>
            <w:vAlign w:val="center"/>
            <w:shd w:fill="D9EAF2"/>
          </w:tcPr>
          <w:p>
            <w:pPr>
              <w:spacing w:line="276" w:lineRule="auto"/>
              <w:ind w:firstLine="0"/>
              <w:jc w:val="left"/>
            </w:pPr>
            <w:r>
              <w:rPr>
                <w:rFonts w:ascii="宋体" w:hAnsi="宋体" w:eastAsia="宋体"/>
                <w:b/>
                <w:sz w:val="21"/>
              </w:rPr>
              <w:t>提交条件</w:t>
            </w:r>
          </w:p>
        </w:tc>
        <w:tc>
          <w:tcPr>
            <w:tcW w:type="dxa" w:w="1436"/>
            <w:vAlign w:val="center"/>
            <w:shd w:fill="D9EAF2"/>
          </w:tcPr>
          <w:p>
            <w:pPr>
              <w:spacing w:line="276" w:lineRule="auto"/>
              <w:ind w:firstLine="0"/>
              <w:jc w:val="left"/>
            </w:pPr>
            <w:r>
              <w:rPr>
                <w:rFonts w:ascii="宋体" w:hAnsi="宋体" w:eastAsia="宋体"/>
                <w:b/>
                <w:sz w:val="21"/>
              </w:rPr>
              <w:t>主要证明目的</w:t>
            </w:r>
          </w:p>
        </w:tc>
        <w:tc>
          <w:tcPr>
            <w:tcW w:type="dxa" w:w="1436"/>
            <w:vAlign w:val="center"/>
            <w:shd w:fill="D9EAF2"/>
          </w:tcPr>
          <w:p>
            <w:pPr>
              <w:spacing w:line="276" w:lineRule="auto"/>
              <w:ind w:firstLine="0"/>
              <w:jc w:val="left"/>
            </w:pPr>
            <w:r>
              <w:rPr>
                <w:rFonts w:ascii="宋体" w:hAnsi="宋体" w:eastAsia="宋体"/>
                <w:b/>
                <w:sz w:val="21"/>
              </w:rPr>
              <w:t>不提交风险</w:t>
            </w:r>
          </w:p>
        </w:tc>
      </w:tr>
      <w:tr>
        <w:tc>
          <w:tcPr>
            <w:tcW w:type="dxa" w:w="1436"/>
            <w:vAlign w:val="center"/>
          </w:tcPr>
          <w:p>
            <w:pPr>
              <w:spacing w:line="276" w:lineRule="auto"/>
              <w:ind w:firstLine="0"/>
              <w:jc w:val="left"/>
            </w:pPr>
            <w:r>
              <w:rPr>
                <w:rFonts w:ascii="宋体" w:hAnsi="宋体" w:eastAsia="宋体"/>
                <w:b w:val="0"/>
                <w:sz w:val="21"/>
              </w:rPr>
              <w:t>调查收集证据申请书——棚改安置、货补及收费性质</w:t>
            </w:r>
          </w:p>
        </w:tc>
        <w:tc>
          <w:tcPr>
            <w:tcW w:type="dxa" w:w="1436"/>
            <w:vAlign w:val="center"/>
          </w:tcPr>
          <w:p>
            <w:pPr>
              <w:spacing w:line="276" w:lineRule="auto"/>
              <w:ind w:firstLine="0"/>
              <w:jc w:val="left"/>
            </w:pPr>
            <w:r>
              <w:rPr>
                <w:rFonts w:ascii="宋体" w:hAnsi="宋体" w:eastAsia="宋体"/>
                <w:b w:val="0"/>
                <w:sz w:val="21"/>
              </w:rPr>
              <w:t>高</w:t>
            </w:r>
          </w:p>
        </w:tc>
        <w:tc>
          <w:tcPr>
            <w:tcW w:type="dxa" w:w="1436"/>
            <w:vAlign w:val="center"/>
          </w:tcPr>
          <w:p>
            <w:pPr>
              <w:spacing w:line="276" w:lineRule="auto"/>
              <w:ind w:firstLine="0"/>
              <w:jc w:val="left"/>
            </w:pPr>
            <w:r>
              <w:rPr>
                <w:rFonts w:ascii="宋体" w:hAnsi="宋体" w:eastAsia="宋体"/>
                <w:b w:val="0"/>
                <w:sz w:val="21"/>
              </w:rPr>
              <w:t>本周提交</w:t>
            </w:r>
          </w:p>
        </w:tc>
        <w:tc>
          <w:tcPr>
            <w:tcW w:type="dxa" w:w="1436"/>
            <w:vAlign w:val="center"/>
          </w:tcPr>
          <w:p>
            <w:pPr>
              <w:spacing w:line="276" w:lineRule="auto"/>
              <w:ind w:firstLine="0"/>
              <w:jc w:val="left"/>
            </w:pPr>
            <w:r>
              <w:rPr>
                <w:rFonts w:ascii="宋体" w:hAnsi="宋体" w:eastAsia="宋体"/>
                <w:b w:val="0"/>
                <w:sz w:val="21"/>
              </w:rPr>
              <w:t>随附完整产权证复印件；核对登记坐落</w:t>
            </w:r>
          </w:p>
        </w:tc>
        <w:tc>
          <w:tcPr>
            <w:tcW w:type="dxa" w:w="1436"/>
            <w:vAlign w:val="center"/>
          </w:tcPr>
          <w:p>
            <w:pPr>
              <w:spacing w:line="276" w:lineRule="auto"/>
              <w:ind w:firstLine="0"/>
              <w:jc w:val="left"/>
            </w:pPr>
            <w:r>
              <w:rPr>
                <w:rFonts w:ascii="宋体" w:hAnsi="宋体" w:eastAsia="宋体"/>
                <w:b w:val="0"/>
                <w:sz w:val="21"/>
              </w:rPr>
              <w:t>查清“棚改安置房”登记底档、补贴购房及2016年2.2元是否覆盖该类住房</w:t>
            </w:r>
          </w:p>
        </w:tc>
        <w:tc>
          <w:tcPr>
            <w:tcW w:type="dxa" w:w="1436"/>
            <w:vAlign w:val="center"/>
          </w:tcPr>
          <w:p>
            <w:pPr>
              <w:spacing w:line="276" w:lineRule="auto"/>
              <w:ind w:firstLine="0"/>
              <w:jc w:val="left"/>
            </w:pPr>
            <w:r>
              <w:rPr>
                <w:rFonts w:ascii="宋体" w:hAnsi="宋体" w:eastAsia="宋体"/>
                <w:b w:val="0"/>
                <w:sz w:val="21"/>
              </w:rPr>
              <w:t>法院可能直接按现有2.2元书面材料处理，棚改住房分类缺乏原始依据</w:t>
            </w:r>
          </w:p>
        </w:tc>
      </w:tr>
      <w:tr>
        <w:tc>
          <w:tcPr>
            <w:tcW w:type="dxa" w:w="1436"/>
            <w:vAlign w:val="center"/>
          </w:tcPr>
          <w:p>
            <w:pPr>
              <w:spacing w:line="276" w:lineRule="auto"/>
              <w:ind w:firstLine="0"/>
              <w:jc w:val="left"/>
            </w:pPr>
            <w:r>
              <w:rPr>
                <w:rFonts w:ascii="宋体" w:hAnsi="宋体" w:eastAsia="宋体"/>
                <w:b w:val="0"/>
                <w:sz w:val="21"/>
              </w:rPr>
              <w:t>责令原告提交书证及电子数据申请书</w:t>
            </w:r>
          </w:p>
        </w:tc>
        <w:tc>
          <w:tcPr>
            <w:tcW w:type="dxa" w:w="1436"/>
            <w:vAlign w:val="center"/>
          </w:tcPr>
          <w:p>
            <w:pPr>
              <w:spacing w:line="276" w:lineRule="auto"/>
              <w:ind w:firstLine="0"/>
              <w:jc w:val="left"/>
            </w:pPr>
            <w:r>
              <w:rPr>
                <w:rFonts w:ascii="宋体" w:hAnsi="宋体" w:eastAsia="宋体"/>
                <w:b w:val="0"/>
                <w:sz w:val="21"/>
              </w:rPr>
              <w:t>高</w:t>
            </w:r>
          </w:p>
        </w:tc>
        <w:tc>
          <w:tcPr>
            <w:tcW w:type="dxa" w:w="1436"/>
            <w:vAlign w:val="center"/>
          </w:tcPr>
          <w:p>
            <w:pPr>
              <w:spacing w:line="276" w:lineRule="auto"/>
              <w:ind w:firstLine="0"/>
              <w:jc w:val="left"/>
            </w:pPr>
            <w:r>
              <w:rPr>
                <w:rFonts w:ascii="宋体" w:hAnsi="宋体" w:eastAsia="宋体"/>
                <w:b w:val="0"/>
                <w:sz w:val="21"/>
              </w:rPr>
              <w:t>本周提交</w:t>
            </w:r>
          </w:p>
        </w:tc>
        <w:tc>
          <w:tcPr>
            <w:tcW w:type="dxa" w:w="1436"/>
            <w:vAlign w:val="center"/>
          </w:tcPr>
          <w:p>
            <w:pPr>
              <w:spacing w:line="276" w:lineRule="auto"/>
              <w:ind w:firstLine="0"/>
              <w:jc w:val="left"/>
            </w:pPr>
            <w:r>
              <w:rPr>
                <w:rFonts w:ascii="宋体" w:hAnsi="宋体" w:eastAsia="宋体"/>
                <w:b w:val="0"/>
                <w:sz w:val="21"/>
              </w:rPr>
              <w:t>尽量在举证期限届满前；附原告三项证据关键页</w:t>
            </w:r>
          </w:p>
        </w:tc>
        <w:tc>
          <w:tcPr>
            <w:tcW w:type="dxa" w:w="1436"/>
            <w:vAlign w:val="center"/>
          </w:tcPr>
          <w:p>
            <w:pPr>
              <w:spacing w:line="276" w:lineRule="auto"/>
              <w:ind w:firstLine="0"/>
              <w:jc w:val="left"/>
            </w:pPr>
            <w:r>
              <w:rPr>
                <w:rFonts w:ascii="宋体" w:hAnsi="宋体" w:eastAsia="宋体"/>
                <w:b w:val="0"/>
                <w:sz w:val="21"/>
              </w:rPr>
              <w:t>锁定合同区域、逐期账目、微信主体、人员到岗、履约、天台和公共收益公开</w:t>
            </w:r>
          </w:p>
        </w:tc>
        <w:tc>
          <w:tcPr>
            <w:tcW w:type="dxa" w:w="1436"/>
            <w:vAlign w:val="center"/>
          </w:tcPr>
          <w:p>
            <w:pPr>
              <w:spacing w:line="276" w:lineRule="auto"/>
              <w:ind w:firstLine="0"/>
              <w:jc w:val="left"/>
            </w:pPr>
            <w:r>
              <w:rPr>
                <w:rFonts w:ascii="宋体" w:hAnsi="宋体" w:eastAsia="宋体"/>
                <w:b w:val="0"/>
                <w:sz w:val="21"/>
              </w:rPr>
              <w:t>原告可能以少量截图、汇总表概括证明42个月全额债权</w:t>
            </w:r>
          </w:p>
        </w:tc>
      </w:tr>
      <w:tr>
        <w:tc>
          <w:tcPr>
            <w:tcW w:type="dxa" w:w="1436"/>
            <w:vAlign w:val="center"/>
          </w:tcPr>
          <w:p>
            <w:pPr>
              <w:spacing w:line="276" w:lineRule="auto"/>
              <w:ind w:firstLine="0"/>
              <w:jc w:val="left"/>
            </w:pPr>
            <w:r>
              <w:rPr>
                <w:rFonts w:ascii="宋体" w:hAnsi="宋体" w:eastAsia="宋体"/>
                <w:b w:val="0"/>
                <w:sz w:val="21"/>
              </w:rPr>
              <w:t>申请查明首次起诉提交时间及立案流转记录</w:t>
            </w:r>
          </w:p>
        </w:tc>
        <w:tc>
          <w:tcPr>
            <w:tcW w:type="dxa" w:w="1436"/>
            <w:vAlign w:val="center"/>
          </w:tcPr>
          <w:p>
            <w:pPr>
              <w:spacing w:line="276" w:lineRule="auto"/>
              <w:ind w:firstLine="0"/>
              <w:jc w:val="left"/>
            </w:pPr>
            <w:r>
              <w:rPr>
                <w:rFonts w:ascii="宋体" w:hAnsi="宋体" w:eastAsia="宋体"/>
                <w:b w:val="0"/>
                <w:sz w:val="21"/>
              </w:rPr>
              <w:t>高</w:t>
            </w:r>
          </w:p>
        </w:tc>
        <w:tc>
          <w:tcPr>
            <w:tcW w:type="dxa" w:w="1436"/>
            <w:vAlign w:val="center"/>
          </w:tcPr>
          <w:p>
            <w:pPr>
              <w:spacing w:line="276" w:lineRule="auto"/>
              <w:ind w:firstLine="0"/>
              <w:jc w:val="left"/>
            </w:pPr>
            <w:r>
              <w:rPr>
                <w:rFonts w:ascii="宋体" w:hAnsi="宋体" w:eastAsia="宋体"/>
                <w:b w:val="0"/>
                <w:sz w:val="21"/>
              </w:rPr>
              <w:t>本周提交</w:t>
            </w:r>
          </w:p>
        </w:tc>
        <w:tc>
          <w:tcPr>
            <w:tcW w:type="dxa" w:w="1436"/>
            <w:vAlign w:val="center"/>
          </w:tcPr>
          <w:p>
            <w:pPr>
              <w:spacing w:line="276" w:lineRule="auto"/>
              <w:ind w:firstLine="0"/>
              <w:jc w:val="left"/>
            </w:pPr>
            <w:r>
              <w:rPr>
                <w:rFonts w:ascii="宋体" w:hAnsi="宋体" w:eastAsia="宋体"/>
                <w:b w:val="0"/>
                <w:sz w:val="21"/>
              </w:rPr>
              <w:t>已明确提出2023年时效抗辩</w:t>
            </w:r>
          </w:p>
        </w:tc>
        <w:tc>
          <w:tcPr>
            <w:tcW w:type="dxa" w:w="1436"/>
            <w:vAlign w:val="center"/>
          </w:tcPr>
          <w:p>
            <w:pPr>
              <w:spacing w:line="276" w:lineRule="auto"/>
              <w:ind w:firstLine="0"/>
              <w:jc w:val="left"/>
            </w:pPr>
            <w:r>
              <w:rPr>
                <w:rFonts w:ascii="宋体" w:hAnsi="宋体" w:eastAsia="宋体"/>
                <w:b w:val="0"/>
                <w:sz w:val="21"/>
              </w:rPr>
              <w:t>确定起诉引起时效中断的真实日期，审查2,966.88元</w:t>
            </w:r>
          </w:p>
        </w:tc>
        <w:tc>
          <w:tcPr>
            <w:tcW w:type="dxa" w:w="1436"/>
            <w:vAlign w:val="center"/>
          </w:tcPr>
          <w:p>
            <w:pPr>
              <w:spacing w:line="276" w:lineRule="auto"/>
              <w:ind w:firstLine="0"/>
              <w:jc w:val="left"/>
            </w:pPr>
            <w:r>
              <w:rPr>
                <w:rFonts w:ascii="宋体" w:hAnsi="宋体" w:eastAsia="宋体"/>
                <w:b w:val="0"/>
                <w:sz w:val="21"/>
              </w:rPr>
              <w:t>只用正式立案日推算，可能遗漏更早提交，或错失2023全年减项抗辩</w:t>
            </w:r>
          </w:p>
        </w:tc>
      </w:tr>
      <w:tr>
        <w:tc>
          <w:tcPr>
            <w:tcW w:type="dxa" w:w="1436"/>
            <w:vAlign w:val="center"/>
          </w:tcPr>
          <w:p>
            <w:pPr>
              <w:spacing w:line="276" w:lineRule="auto"/>
              <w:ind w:firstLine="0"/>
              <w:jc w:val="left"/>
            </w:pPr>
            <w:r>
              <w:rPr>
                <w:rFonts w:ascii="宋体" w:hAnsi="宋体" w:eastAsia="宋体"/>
                <w:b w:val="0"/>
                <w:sz w:val="21"/>
              </w:rPr>
              <w:t>证人出庭作证申请书——协议代签</w:t>
            </w:r>
          </w:p>
        </w:tc>
        <w:tc>
          <w:tcPr>
            <w:tcW w:type="dxa" w:w="1436"/>
            <w:vAlign w:val="center"/>
          </w:tcPr>
          <w:p>
            <w:pPr>
              <w:spacing w:line="276" w:lineRule="auto"/>
              <w:ind w:firstLine="0"/>
              <w:jc w:val="left"/>
            </w:pPr>
            <w:r>
              <w:rPr>
                <w:rFonts w:ascii="宋体" w:hAnsi="宋体" w:eastAsia="宋体"/>
                <w:b w:val="0"/>
                <w:sz w:val="21"/>
              </w:rPr>
              <w:t>中高</w:t>
            </w:r>
          </w:p>
        </w:tc>
        <w:tc>
          <w:tcPr>
            <w:tcW w:type="dxa" w:w="1436"/>
            <w:vAlign w:val="center"/>
          </w:tcPr>
          <w:p>
            <w:pPr>
              <w:spacing w:line="276" w:lineRule="auto"/>
              <w:ind w:firstLine="0"/>
              <w:jc w:val="left"/>
            </w:pPr>
            <w:r>
              <w:rPr>
                <w:rFonts w:ascii="宋体" w:hAnsi="宋体" w:eastAsia="宋体"/>
                <w:b w:val="0"/>
                <w:sz w:val="21"/>
              </w:rPr>
              <w:t>条件成熟即提交</w:t>
            </w:r>
          </w:p>
        </w:tc>
        <w:tc>
          <w:tcPr>
            <w:tcW w:type="dxa" w:w="1436"/>
            <w:vAlign w:val="center"/>
          </w:tcPr>
          <w:p>
            <w:pPr>
              <w:spacing w:line="276" w:lineRule="auto"/>
              <w:ind w:firstLine="0"/>
              <w:jc w:val="left"/>
            </w:pPr>
            <w:r>
              <w:rPr>
                <w:rFonts w:ascii="宋体" w:hAnsi="宋体" w:eastAsia="宋体"/>
                <w:b w:val="0"/>
                <w:sz w:val="21"/>
              </w:rPr>
              <w:t>证人同意出庭；补姓名、职业、住址、电话；在举证期限内</w:t>
            </w:r>
          </w:p>
        </w:tc>
        <w:tc>
          <w:tcPr>
            <w:tcW w:type="dxa" w:w="1436"/>
            <w:vAlign w:val="center"/>
          </w:tcPr>
          <w:p>
            <w:pPr>
              <w:spacing w:line="276" w:lineRule="auto"/>
              <w:ind w:firstLine="0"/>
              <w:jc w:val="left"/>
            </w:pPr>
            <w:r>
              <w:rPr>
                <w:rFonts w:ascii="宋体" w:hAnsi="宋体" w:eastAsia="宋体"/>
                <w:b w:val="0"/>
                <w:sz w:val="21"/>
              </w:rPr>
              <w:t>证明谁签字、是否授权、物业是否知道拒签</w:t>
            </w:r>
          </w:p>
        </w:tc>
        <w:tc>
          <w:tcPr>
            <w:tcW w:type="dxa" w:w="1436"/>
            <w:vAlign w:val="center"/>
          </w:tcPr>
          <w:p>
            <w:pPr>
              <w:spacing w:line="276" w:lineRule="auto"/>
              <w:ind w:firstLine="0"/>
              <w:jc w:val="left"/>
            </w:pPr>
            <w:r>
              <w:rPr>
                <w:rFonts w:ascii="宋体" w:hAnsi="宋体" w:eastAsia="宋体"/>
                <w:b w:val="0"/>
                <w:sz w:val="21"/>
              </w:rPr>
              <w:t>个人协议代签经过仅剩当事人陈述，容易被认定证明不足</w:t>
            </w:r>
          </w:p>
        </w:tc>
      </w:tr>
      <w:tr>
        <w:tc>
          <w:tcPr>
            <w:tcW w:type="dxa" w:w="1436"/>
            <w:vAlign w:val="center"/>
          </w:tcPr>
          <w:p>
            <w:pPr>
              <w:spacing w:line="276" w:lineRule="auto"/>
              <w:ind w:firstLine="0"/>
              <w:jc w:val="left"/>
            </w:pPr>
            <w:r>
              <w:rPr>
                <w:rFonts w:ascii="宋体" w:hAnsi="宋体" w:eastAsia="宋体"/>
                <w:b w:val="0"/>
                <w:sz w:val="21"/>
              </w:rPr>
              <w:t>现场勘验申请书——天台</w:t>
            </w:r>
          </w:p>
        </w:tc>
        <w:tc>
          <w:tcPr>
            <w:tcW w:type="dxa" w:w="1436"/>
            <w:vAlign w:val="center"/>
          </w:tcPr>
          <w:p>
            <w:pPr>
              <w:spacing w:line="276" w:lineRule="auto"/>
              <w:ind w:firstLine="0"/>
              <w:jc w:val="left"/>
            </w:pPr>
            <w:r>
              <w:rPr>
                <w:rFonts w:ascii="宋体" w:hAnsi="宋体" w:eastAsia="宋体"/>
                <w:b w:val="0"/>
                <w:sz w:val="21"/>
              </w:rPr>
              <w:t>中</w:t>
            </w:r>
          </w:p>
        </w:tc>
        <w:tc>
          <w:tcPr>
            <w:tcW w:type="dxa" w:w="1436"/>
            <w:vAlign w:val="center"/>
          </w:tcPr>
          <w:p>
            <w:pPr>
              <w:spacing w:line="276" w:lineRule="auto"/>
              <w:ind w:firstLine="0"/>
              <w:jc w:val="left"/>
            </w:pPr>
            <w:r>
              <w:rPr>
                <w:rFonts w:ascii="宋体" w:hAnsi="宋体" w:eastAsia="宋体"/>
                <w:b w:val="0"/>
                <w:sz w:val="21"/>
              </w:rPr>
              <w:t>视现场决定</w:t>
            </w:r>
          </w:p>
        </w:tc>
        <w:tc>
          <w:tcPr>
            <w:tcW w:type="dxa" w:w="1436"/>
            <w:vAlign w:val="center"/>
          </w:tcPr>
          <w:p>
            <w:pPr>
              <w:spacing w:line="276" w:lineRule="auto"/>
              <w:ind w:firstLine="0"/>
              <w:jc w:val="left"/>
            </w:pPr>
            <w:r>
              <w:rPr>
                <w:rFonts w:ascii="宋体" w:hAnsi="宋体" w:eastAsia="宋体"/>
                <w:b w:val="0"/>
                <w:sz w:val="21"/>
              </w:rPr>
              <w:t>开庭前破损、安全警示不足仍存在；先固定原始照片和点位</w:t>
            </w:r>
          </w:p>
        </w:tc>
        <w:tc>
          <w:tcPr>
            <w:tcW w:type="dxa" w:w="1436"/>
            <w:vAlign w:val="center"/>
          </w:tcPr>
          <w:p>
            <w:pPr>
              <w:spacing w:line="276" w:lineRule="auto"/>
              <w:ind w:firstLine="0"/>
              <w:jc w:val="left"/>
            </w:pPr>
            <w:r>
              <w:rPr>
                <w:rFonts w:ascii="宋体" w:hAnsi="宋体" w:eastAsia="宋体"/>
                <w:b w:val="0"/>
                <w:sz w:val="21"/>
              </w:rPr>
              <w:t>固定当前破损、警示、隔离和维修状态</w:t>
            </w:r>
          </w:p>
        </w:tc>
        <w:tc>
          <w:tcPr>
            <w:tcW w:type="dxa" w:w="1436"/>
            <w:vAlign w:val="center"/>
          </w:tcPr>
          <w:p>
            <w:pPr>
              <w:spacing w:line="276" w:lineRule="auto"/>
              <w:ind w:firstLine="0"/>
              <w:jc w:val="left"/>
            </w:pPr>
            <w:r>
              <w:rPr>
                <w:rFonts w:ascii="宋体" w:hAnsi="宋体" w:eastAsia="宋体"/>
                <w:b w:val="0"/>
                <w:sz w:val="21"/>
              </w:rPr>
              <w:t>当前状态被维修或变化后难以客观核验；但勘验不能证明全部历史期间</w:t>
            </w:r>
          </w:p>
        </w:tc>
      </w:tr>
      <w:tr>
        <w:tc>
          <w:tcPr>
            <w:tcW w:type="dxa" w:w="1436"/>
            <w:vAlign w:val="center"/>
          </w:tcPr>
          <w:p>
            <w:pPr>
              <w:spacing w:line="276" w:lineRule="auto"/>
              <w:ind w:firstLine="0"/>
              <w:jc w:val="left"/>
            </w:pPr>
            <w:r>
              <w:rPr>
                <w:rFonts w:ascii="宋体" w:hAnsi="宋体" w:eastAsia="宋体"/>
                <w:b w:val="0"/>
                <w:sz w:val="21"/>
              </w:rPr>
              <w:t>笔迹鉴定申请书</w:t>
            </w:r>
          </w:p>
        </w:tc>
        <w:tc>
          <w:tcPr>
            <w:tcW w:type="dxa" w:w="1436"/>
            <w:vAlign w:val="center"/>
          </w:tcPr>
          <w:p>
            <w:pPr>
              <w:spacing w:line="276" w:lineRule="auto"/>
              <w:ind w:firstLine="0"/>
              <w:jc w:val="left"/>
            </w:pPr>
            <w:r>
              <w:rPr>
                <w:rFonts w:ascii="宋体" w:hAnsi="宋体" w:eastAsia="宋体"/>
                <w:b w:val="0"/>
                <w:sz w:val="21"/>
              </w:rPr>
              <w:t>备用</w:t>
            </w:r>
          </w:p>
        </w:tc>
        <w:tc>
          <w:tcPr>
            <w:tcW w:type="dxa" w:w="1436"/>
            <w:vAlign w:val="center"/>
          </w:tcPr>
          <w:p>
            <w:pPr>
              <w:spacing w:line="276" w:lineRule="auto"/>
              <w:ind w:firstLine="0"/>
              <w:jc w:val="left"/>
            </w:pPr>
            <w:r>
              <w:rPr>
                <w:rFonts w:ascii="宋体" w:hAnsi="宋体" w:eastAsia="宋体"/>
                <w:b w:val="0"/>
                <w:sz w:val="21"/>
              </w:rPr>
              <w:t>暂不提交</w:t>
            </w:r>
          </w:p>
        </w:tc>
        <w:tc>
          <w:tcPr>
            <w:tcW w:type="dxa" w:w="1436"/>
            <w:vAlign w:val="center"/>
          </w:tcPr>
          <w:p>
            <w:pPr>
              <w:spacing w:line="276" w:lineRule="auto"/>
              <w:ind w:firstLine="0"/>
              <w:jc w:val="left"/>
            </w:pPr>
            <w:r>
              <w:rPr>
                <w:rFonts w:ascii="宋体" w:hAnsi="宋体" w:eastAsia="宋体"/>
                <w:b w:val="0"/>
                <w:sz w:val="21"/>
              </w:rPr>
              <w:t>原告提交原件并坚持本人亲笔</w:t>
            </w:r>
          </w:p>
        </w:tc>
        <w:tc>
          <w:tcPr>
            <w:tcW w:type="dxa" w:w="1436"/>
            <w:vAlign w:val="center"/>
          </w:tcPr>
          <w:p>
            <w:pPr>
              <w:spacing w:line="276" w:lineRule="auto"/>
              <w:ind w:firstLine="0"/>
              <w:jc w:val="left"/>
            </w:pPr>
            <w:r>
              <w:rPr>
                <w:rFonts w:ascii="宋体" w:hAnsi="宋体" w:eastAsia="宋体"/>
                <w:b w:val="0"/>
                <w:sz w:val="21"/>
              </w:rPr>
              <w:t>仅判断签名是否李国平本人书写</w:t>
            </w:r>
          </w:p>
        </w:tc>
        <w:tc>
          <w:tcPr>
            <w:tcW w:type="dxa" w:w="1436"/>
            <w:vAlign w:val="center"/>
          </w:tcPr>
          <w:p>
            <w:pPr>
              <w:spacing w:line="276" w:lineRule="auto"/>
              <w:ind w:firstLine="0"/>
              <w:jc w:val="left"/>
            </w:pPr>
            <w:r>
              <w:rPr>
                <w:rFonts w:ascii="宋体" w:hAnsi="宋体" w:eastAsia="宋体"/>
                <w:b w:val="0"/>
                <w:sz w:val="21"/>
              </w:rPr>
              <w:t>过早申请浪费费用并转移到无权代理争点；无原件也难鉴定</w:t>
            </w:r>
          </w:p>
        </w:tc>
      </w:tr>
      <w:tr>
        <w:tc>
          <w:tcPr>
            <w:tcW w:type="dxa" w:w="1436"/>
            <w:vAlign w:val="center"/>
          </w:tcPr>
          <w:p>
            <w:pPr>
              <w:spacing w:line="276" w:lineRule="auto"/>
              <w:ind w:firstLine="0"/>
              <w:jc w:val="left"/>
            </w:pPr>
            <w:r>
              <w:rPr>
                <w:rFonts w:ascii="宋体" w:hAnsi="宋体" w:eastAsia="宋体"/>
                <w:b w:val="0"/>
                <w:sz w:val="21"/>
              </w:rPr>
              <w:t>延期举证及补充质证期限申请书</w:t>
            </w:r>
          </w:p>
        </w:tc>
        <w:tc>
          <w:tcPr>
            <w:tcW w:type="dxa" w:w="1436"/>
            <w:vAlign w:val="center"/>
          </w:tcPr>
          <w:p>
            <w:pPr>
              <w:spacing w:line="276" w:lineRule="auto"/>
              <w:ind w:firstLine="0"/>
              <w:jc w:val="left"/>
            </w:pPr>
            <w:r>
              <w:rPr>
                <w:rFonts w:ascii="宋体" w:hAnsi="宋体" w:eastAsia="宋体"/>
                <w:b w:val="0"/>
                <w:sz w:val="21"/>
              </w:rPr>
              <w:t>备用</w:t>
            </w:r>
          </w:p>
        </w:tc>
        <w:tc>
          <w:tcPr>
            <w:tcW w:type="dxa" w:w="1436"/>
            <w:vAlign w:val="center"/>
          </w:tcPr>
          <w:p>
            <w:pPr>
              <w:spacing w:line="276" w:lineRule="auto"/>
              <w:ind w:firstLine="0"/>
              <w:jc w:val="left"/>
            </w:pPr>
            <w:r>
              <w:rPr>
                <w:rFonts w:ascii="宋体" w:hAnsi="宋体" w:eastAsia="宋体"/>
                <w:b w:val="0"/>
                <w:sz w:val="21"/>
              </w:rPr>
              <w:t>暂不提交</w:t>
            </w:r>
          </w:p>
        </w:tc>
        <w:tc>
          <w:tcPr>
            <w:tcW w:type="dxa" w:w="1436"/>
            <w:vAlign w:val="center"/>
          </w:tcPr>
          <w:p>
            <w:pPr>
              <w:spacing w:line="276" w:lineRule="auto"/>
              <w:ind w:firstLine="0"/>
              <w:jc w:val="left"/>
            </w:pPr>
            <w:r>
              <w:rPr>
                <w:rFonts w:ascii="宋体" w:hAnsi="宋体" w:eastAsia="宋体"/>
                <w:b w:val="0"/>
                <w:sz w:val="21"/>
              </w:rPr>
              <w:t>原告临近开庭或当庭大量补证</w:t>
            </w:r>
          </w:p>
        </w:tc>
        <w:tc>
          <w:tcPr>
            <w:tcW w:type="dxa" w:w="1436"/>
            <w:vAlign w:val="center"/>
          </w:tcPr>
          <w:p>
            <w:pPr>
              <w:spacing w:line="276" w:lineRule="auto"/>
              <w:ind w:firstLine="0"/>
              <w:jc w:val="left"/>
            </w:pPr>
            <w:r>
              <w:rPr>
                <w:rFonts w:ascii="宋体" w:hAnsi="宋体" w:eastAsia="宋体"/>
                <w:b w:val="0"/>
                <w:sz w:val="21"/>
              </w:rPr>
              <w:t>获得复制、核验、书面质证和反证时间</w:t>
            </w:r>
          </w:p>
        </w:tc>
        <w:tc>
          <w:tcPr>
            <w:tcW w:type="dxa" w:w="1436"/>
            <w:vAlign w:val="center"/>
          </w:tcPr>
          <w:p>
            <w:pPr>
              <w:spacing w:line="276" w:lineRule="auto"/>
              <w:ind w:firstLine="0"/>
              <w:jc w:val="left"/>
            </w:pPr>
            <w:r>
              <w:rPr>
                <w:rFonts w:ascii="宋体" w:hAnsi="宋体" w:eastAsia="宋体"/>
                <w:b w:val="0"/>
                <w:sz w:val="21"/>
              </w:rPr>
              <w:t>被迫当庭对复杂新证据仓促表态，丧失有效质证机会</w:t>
            </w:r>
          </w:p>
        </w:tc>
      </w:tr>
      <w:tr>
        <w:tc>
          <w:tcPr>
            <w:tcW w:type="dxa" w:w="1436"/>
            <w:vAlign w:val="center"/>
          </w:tcPr>
          <w:p>
            <w:pPr>
              <w:spacing w:line="276" w:lineRule="auto"/>
              <w:ind w:firstLine="0"/>
              <w:jc w:val="left"/>
            </w:pPr>
            <w:r>
              <w:rPr>
                <w:rFonts w:ascii="宋体" w:hAnsi="宋体" w:eastAsia="宋体"/>
                <w:b w:val="0"/>
                <w:sz w:val="21"/>
              </w:rPr>
              <w:t>继续履行物业服务义务反诉状</w:t>
            </w:r>
          </w:p>
        </w:tc>
        <w:tc>
          <w:tcPr>
            <w:tcW w:type="dxa" w:w="1436"/>
            <w:vAlign w:val="center"/>
          </w:tcPr>
          <w:p>
            <w:pPr>
              <w:spacing w:line="276" w:lineRule="auto"/>
              <w:ind w:firstLine="0"/>
              <w:jc w:val="left"/>
            </w:pPr>
            <w:r>
              <w:rPr>
                <w:rFonts w:ascii="宋体" w:hAnsi="宋体" w:eastAsia="宋体"/>
                <w:b w:val="0"/>
                <w:sz w:val="21"/>
              </w:rPr>
              <w:t>研究备用</w:t>
            </w:r>
          </w:p>
        </w:tc>
        <w:tc>
          <w:tcPr>
            <w:tcW w:type="dxa" w:w="1436"/>
            <w:vAlign w:val="center"/>
          </w:tcPr>
          <w:p>
            <w:pPr>
              <w:spacing w:line="276" w:lineRule="auto"/>
              <w:ind w:firstLine="0"/>
              <w:jc w:val="left"/>
            </w:pPr>
            <w:r>
              <w:rPr>
                <w:rFonts w:ascii="宋体" w:hAnsi="宋体" w:eastAsia="宋体"/>
                <w:b w:val="0"/>
                <w:sz w:val="21"/>
              </w:rPr>
              <w:t>暂不提交</w:t>
            </w:r>
          </w:p>
        </w:tc>
        <w:tc>
          <w:tcPr>
            <w:tcW w:type="dxa" w:w="1436"/>
            <w:vAlign w:val="center"/>
          </w:tcPr>
          <w:p>
            <w:pPr>
              <w:spacing w:line="276" w:lineRule="auto"/>
              <w:ind w:firstLine="0"/>
              <w:jc w:val="left"/>
            </w:pPr>
            <w:r>
              <w:rPr>
                <w:rFonts w:ascii="宋体" w:hAnsi="宋体" w:eastAsia="宋体"/>
                <w:b w:val="0"/>
                <w:sz w:val="21"/>
              </w:rPr>
              <w:t>固定当前破损、范围、物业通知和维修责任；核查反诉期限</w:t>
            </w:r>
          </w:p>
        </w:tc>
        <w:tc>
          <w:tcPr>
            <w:tcW w:type="dxa" w:w="1436"/>
            <w:vAlign w:val="center"/>
          </w:tcPr>
          <w:p>
            <w:pPr>
              <w:spacing w:line="276" w:lineRule="auto"/>
              <w:ind w:firstLine="0"/>
              <w:jc w:val="left"/>
            </w:pPr>
            <w:r>
              <w:rPr>
                <w:rFonts w:ascii="宋体" w:hAnsi="宋体" w:eastAsia="宋体"/>
                <w:b w:val="0"/>
                <w:sz w:val="21"/>
              </w:rPr>
              <w:t>促使物业对共用天台检查、警示、隔离并依法处理维修</w:t>
            </w:r>
          </w:p>
        </w:tc>
        <w:tc>
          <w:tcPr>
            <w:tcW w:type="dxa" w:w="1436"/>
            <w:vAlign w:val="center"/>
          </w:tcPr>
          <w:p>
            <w:pPr>
              <w:spacing w:line="276" w:lineRule="auto"/>
              <w:ind w:firstLine="0"/>
              <w:jc w:val="left"/>
            </w:pPr>
            <w:r>
              <w:rPr>
                <w:rFonts w:ascii="宋体" w:hAnsi="宋体" w:eastAsia="宋体"/>
                <w:b w:val="0"/>
                <w:sz w:val="21"/>
              </w:rPr>
              <w:t>当前证据弱，可能被不予受理或驳回，并分散物业费本金抗辩</w:t>
            </w:r>
          </w:p>
        </w:tc>
      </w:tr>
    </w:tbl>
    <w:p/>
    <w:p>
      <w:pPr>
        <w:pStyle w:val="Heading2"/>
        <w:ind w:firstLine="0"/>
      </w:pPr>
      <w:r>
        <w:rPr>
          <w:rFonts w:ascii="仿宋" w:hAnsi="仿宋" w:eastAsia="仿宋"/>
          <w:b w:val="0"/>
          <w:sz w:val="30"/>
        </w:rPr>
        <w:t>二、本周先提交的三份文件</w:t>
      </w:r>
    </w:p>
    <w:p>
      <w:r>
        <w:rPr>
          <w:rFonts w:ascii="仿宋" w:hAnsi="仿宋" w:eastAsia="仿宋"/>
          <w:b w:val="0"/>
          <w:sz w:val="30"/>
        </w:rPr>
        <w:t>第一，提交《调查收集证据申请书——棚改安置货补及物业收费性质》。重点附件是不动产权证有关页。口头说明：申请人并未主张棚改安置房当然等于保障性住房，也未主张物业费当然只能1.5元；申请目的只是查明登记来源和2016年2.2元核价对象。</w:t>
      </w:r>
    </w:p>
    <w:p>
      <w:r>
        <w:rPr>
          <w:rFonts w:ascii="仿宋" w:hAnsi="仿宋" w:eastAsia="仿宋"/>
          <w:b w:val="0"/>
          <w:sz w:val="30"/>
        </w:rPr>
        <w:t>第二，提交《责令原告提交书证及电子数据申请书》。重点向法官说明请求已经限定到涉案房屋、2023年1月至2026年6月以及具体待证事实，并允许劳动、工资、社保资料脱敏。人员部分的主要材料是花名册、岗位、排班和考勤；工资汇总只是核验人员真实存在的辅助材料，不是审查工资高低。</w:t>
      </w:r>
    </w:p>
    <w:p>
      <w:r>
        <w:rPr>
          <w:rFonts w:ascii="仿宋" w:hAnsi="仿宋" w:eastAsia="仿宋"/>
          <w:b w:val="0"/>
          <w:sz w:val="30"/>
        </w:rPr>
        <w:t>第三，提交《申请查明首次起诉提交时间及立案流转记录》。同时明确2023年度全年诉讼时效抗辩：上半年约定付款日为2022年12月25日，下半年为2023年6月25日；正式立案日为2026年8月5日，但真正可能发生起诉中断的日期仍应看首次提交起诉状记录。</w:t>
      </w:r>
    </w:p>
    <w:p>
      <w:pPr>
        <w:pStyle w:val="Heading2"/>
        <w:ind w:firstLine="0"/>
      </w:pPr>
      <w:r>
        <w:rPr>
          <w:rFonts w:ascii="仿宋" w:hAnsi="仿宋" w:eastAsia="仿宋"/>
          <w:b w:val="0"/>
          <w:sz w:val="30"/>
        </w:rPr>
        <w:t>三、随三份申请一并准备的附件</w:t>
      </w:r>
    </w:p>
    <w:p>
      <w:pPr>
        <w:ind w:firstLine="0" w:left="0"/>
      </w:pPr>
      <w:r>
        <w:rPr>
          <w:rFonts w:ascii="仿宋" w:hAnsi="仿宋" w:eastAsia="仿宋"/>
          <w:b w:val="0"/>
          <w:sz w:val="30"/>
        </w:rPr>
        <w:t>1. 不动产权证书完整复印件一套，并携原件备核；</w:t>
      </w:r>
    </w:p>
    <w:p>
      <w:pPr>
        <w:ind w:firstLine="0" w:left="0"/>
      </w:pPr>
      <w:r>
        <w:rPr>
          <w:rFonts w:ascii="仿宋" w:hAnsi="仿宋" w:eastAsia="仿宋"/>
          <w:b w:val="0"/>
          <w:sz w:val="30"/>
        </w:rPr>
        <w:t>2. 原告《民事起诉状》、个人《前期物业服务协议》、微信截图各一套；</w:t>
      </w:r>
    </w:p>
    <w:p>
      <w:pPr>
        <w:ind w:firstLine="0" w:left="0"/>
      </w:pPr>
      <w:r>
        <w:rPr>
          <w:rFonts w:ascii="仿宋" w:hAnsi="仿宋" w:eastAsia="仿宋"/>
          <w:b w:val="0"/>
          <w:sz w:val="30"/>
        </w:rPr>
        <w:t>3. B/C区基础合同封面、主体页、收费页、签章页、区域及服务标准附件关键页；</w:t>
      </w:r>
    </w:p>
    <w:p>
      <w:pPr>
        <w:ind w:firstLine="0" w:left="0"/>
      </w:pPr>
      <w:r>
        <w:rPr>
          <w:rFonts w:ascii="仿宋" w:hAnsi="仿宋" w:eastAsia="仿宋"/>
          <w:b w:val="0"/>
          <w:sz w:val="30"/>
        </w:rPr>
        <w:t>4. A区合同物业构成页及27046号判决、庭审笔录中关于A区/B/C区表述冲突的关键页；</w:t>
      </w:r>
    </w:p>
    <w:p>
      <w:pPr>
        <w:ind w:firstLine="0" w:left="0"/>
      </w:pPr>
      <w:r>
        <w:rPr>
          <w:rFonts w:ascii="仿宋" w:hAnsi="仿宋" w:eastAsia="仿宋"/>
          <w:b w:val="0"/>
          <w:sz w:val="30"/>
        </w:rPr>
        <w:t>5. 住建部门关于2016年5月签约、档案情况的完整回复关键页；</w:t>
      </w:r>
    </w:p>
    <w:p>
      <w:pPr>
        <w:ind w:firstLine="0" w:left="0"/>
      </w:pPr>
      <w:r>
        <w:rPr>
          <w:rFonts w:ascii="仿宋" w:hAnsi="仿宋" w:eastAsia="仿宋"/>
          <w:b w:val="0"/>
          <w:sz w:val="30"/>
        </w:rPr>
        <w:t>6. 已掌握的2016年中标通知书、招投标备案和NO：2016018收费核定线索页；</w:t>
      </w:r>
    </w:p>
    <w:p>
      <w:pPr>
        <w:ind w:firstLine="0" w:left="0"/>
      </w:pPr>
      <w:r>
        <w:rPr>
          <w:rFonts w:ascii="仿宋" w:hAnsi="仿宋" w:eastAsia="仿宋"/>
          <w:b w:val="0"/>
          <w:sz w:val="30"/>
        </w:rPr>
        <w:t>7. 一页《申请事项—待证事实—原告请求要件》索引，便于承办法官快速定位。</w:t>
      </w:r>
    </w:p>
    <w:p>
      <w:pPr>
        <w:pStyle w:val="Heading2"/>
        <w:ind w:firstLine="0"/>
      </w:pPr>
      <w:r>
        <w:rPr>
          <w:rFonts w:ascii="仿宋" w:hAnsi="仿宋" w:eastAsia="仿宋"/>
          <w:b w:val="0"/>
          <w:sz w:val="30"/>
        </w:rPr>
        <w:t>四、递交和留痕</w:t>
      </w:r>
    </w:p>
    <w:p>
      <w:pPr>
        <w:ind w:firstLine="0" w:left="0"/>
      </w:pPr>
      <w:r>
        <w:rPr>
          <w:rFonts w:ascii="仿宋" w:hAnsi="仿宋" w:eastAsia="仿宋"/>
          <w:b w:val="0"/>
          <w:sz w:val="30"/>
        </w:rPr>
        <w:t>1. 每份申请至少准备法院用和送达对方用两套，申请人另留一套；附件较多时制作连续页码和附件目录。</w:t>
      </w:r>
    </w:p>
    <w:p>
      <w:pPr>
        <w:ind w:firstLine="0" w:left="0"/>
      </w:pPr>
      <w:r>
        <w:rPr>
          <w:rFonts w:ascii="仿宋" w:hAnsi="仿宋" w:eastAsia="仿宋"/>
          <w:b w:val="0"/>
          <w:sz w:val="30"/>
        </w:rPr>
        <w:t>2. 通过法院窗口、诉讼服务平台或承办法官指定方式提交，取得盖章收件回执、平台提交成功页面或者材料流转记录。</w:t>
      </w:r>
    </w:p>
    <w:p>
      <w:pPr>
        <w:ind w:firstLine="0" w:left="0"/>
      </w:pPr>
      <w:r>
        <w:rPr>
          <w:rFonts w:ascii="仿宋" w:hAnsi="仿宋" w:eastAsia="仿宋"/>
          <w:b w:val="0"/>
          <w:sz w:val="30"/>
        </w:rPr>
        <w:t>3. 三份申请分别装订，不混成一份。书证提出申请的每组资料保持“证据名称—待证事实—控制依据”对应。</w:t>
      </w:r>
    </w:p>
    <w:p>
      <w:pPr>
        <w:ind w:firstLine="0" w:left="0"/>
      </w:pPr>
      <w:r>
        <w:rPr>
          <w:rFonts w:ascii="仿宋" w:hAnsi="仿宋" w:eastAsia="仿宋"/>
          <w:b w:val="0"/>
          <w:sz w:val="30"/>
        </w:rPr>
        <w:t>4. 尚未找到本案《举证通知书》，应立即向书记员确认举证期限、反诉期限以及申请调查取证、证人出庭、鉴定的截止时间，并将电话确认内容记录日期、接听人员和答复。</w:t>
      </w:r>
    </w:p>
    <w:p>
      <w:pPr>
        <w:ind w:firstLine="0" w:left="0"/>
      </w:pPr>
      <w:r>
        <w:rPr>
          <w:rFonts w:ascii="仿宋" w:hAnsi="仿宋" w:eastAsia="仿宋"/>
          <w:b w:val="0"/>
          <w:sz w:val="30"/>
        </w:rPr>
        <w:t>5. 原告补交材料后，当日记录实际收到日期、页数和是否见到原件；复杂材料不作“无异议”笼统表态，申请书面质证期。</w:t>
      </w:r>
    </w:p>
    <w:p>
      <w:pPr>
        <w:pStyle w:val="Heading2"/>
        <w:ind w:firstLine="0"/>
      </w:pPr>
      <w:r>
        <w:rPr>
          <w:rFonts w:ascii="仿宋" w:hAnsi="仿宋" w:eastAsia="仿宋"/>
          <w:b w:val="0"/>
          <w:sz w:val="30"/>
        </w:rPr>
        <w:t>五、条件成熟后再决定的文件</w:t>
      </w:r>
    </w:p>
    <w:p>
      <w:r>
        <w:rPr>
          <w:rFonts w:ascii="仿宋" w:hAnsi="仿宋" w:eastAsia="仿宋"/>
          <w:b w:val="0"/>
          <w:sz w:val="30"/>
        </w:rPr>
        <w:t>证人申请：先联系当年代签的律师朋友，确认其愿意如实出庭，取得姓名、执业机构、住址和电话。不得要求证人背诵书面证言；应当让其只陈述亲历事实。</w:t>
      </w:r>
    </w:p>
    <w:p>
      <w:r>
        <w:rPr>
          <w:rFonts w:ascii="仿宋" w:hAnsi="仿宋" w:eastAsia="仿宋"/>
          <w:b w:val="0"/>
          <w:sz w:val="30"/>
        </w:rPr>
        <w:t>现场勘验：开庭前先到场拍摄全景、近景和连续视频，保留原文件及拍摄时间；确认破损是否仍在、是否已警示隔离。现场已经完全维修且无法识别原点位时，勘验的必要性下降。</w:t>
      </w:r>
    </w:p>
    <w:p>
      <w:r>
        <w:rPr>
          <w:rFonts w:ascii="仿宋" w:hAnsi="仿宋" w:eastAsia="仿宋"/>
          <w:b w:val="0"/>
          <w:sz w:val="30"/>
        </w:rPr>
        <w:t>笔迹鉴定：只在原告提交协议原件并坚持李国平本人亲笔时启动。原告承认朋友代签后，应转向授权、追认和表见代理，不能让鉴定替代法律判断。</w:t>
      </w:r>
    </w:p>
    <w:p>
      <w:r>
        <w:rPr>
          <w:rFonts w:ascii="仿宋" w:hAnsi="仿宋" w:eastAsia="仿宋"/>
          <w:b w:val="0"/>
          <w:sz w:val="30"/>
        </w:rPr>
        <w:t>延期举证：原告迟延提交合同原件、人员考勤、收费账册、微信原始数据或者大量履约资料时立即填写证据名称、收到日期和页数后提交。</w:t>
      </w:r>
    </w:p>
    <w:p>
      <w:pPr>
        <w:pStyle w:val="Heading2"/>
        <w:ind w:firstLine="0"/>
      </w:pPr>
      <w:r>
        <w:rPr>
          <w:rFonts w:ascii="仿宋" w:hAnsi="仿宋" w:eastAsia="仿宋"/>
          <w:b w:val="0"/>
          <w:sz w:val="30"/>
        </w:rPr>
        <w:t>六、暂时只保存备用</w:t>
      </w:r>
    </w:p>
    <w:p>
      <w:r>
        <w:rPr>
          <w:rFonts w:ascii="仿宋" w:hAnsi="仿宋" w:eastAsia="仿宋"/>
          <w:b w:val="0"/>
          <w:sz w:val="30"/>
        </w:rPr>
        <w:t>《继续履行物业服务义务反诉状》当前不提交。其价值在于天台安全隐患仍在且证据能够证明物业已知或者按巡查义务应当发现而未合理处理时，争取具体行为给付。未固定现场、通知、维修责任和原告当前服务身份前贸然反诉，会削弱本诉中关于10,384.08元具体债权的主线。</w:t>
      </w:r>
    </w:p>
    <w:p>
      <w:r>
        <w:rPr>
          <w:rFonts w:ascii="仿宋" w:hAnsi="仿宋" w:eastAsia="仿宋"/>
          <w:b w:val="0"/>
          <w:sz w:val="30"/>
        </w:rPr>
        <w:t>公共收益当前只通过书证提出申请调查公开和基本收支，不主张未核清的公共收益直接抵销物业费，不提出金额不明的返还反诉。</w:t>
      </w:r>
    </w:p>
    <w:p>
      <w:pPr>
        <w:pStyle w:val="Heading2"/>
        <w:ind w:firstLine="0"/>
      </w:pPr>
      <w:r>
        <w:rPr>
          <w:rFonts w:ascii="仿宋" w:hAnsi="仿宋" w:eastAsia="仿宋"/>
          <w:b w:val="0"/>
          <w:sz w:val="30"/>
        </w:rPr>
        <w:t>七、开庭前必须完成的五件事</w:t>
      </w:r>
    </w:p>
    <w:p>
      <w:pPr>
        <w:ind w:firstLine="0" w:left="0"/>
      </w:pPr>
      <w:r>
        <w:rPr>
          <w:rFonts w:ascii="仿宋" w:hAnsi="仿宋" w:eastAsia="仿宋"/>
          <w:b w:val="0"/>
          <w:sz w:val="30"/>
        </w:rPr>
        <w:t>1. 本周提交前三份申请，并取得法院收件凭证。</w:t>
      </w:r>
    </w:p>
    <w:p>
      <w:pPr>
        <w:ind w:firstLine="0" w:left="0"/>
      </w:pPr>
      <w:r>
        <w:rPr>
          <w:rFonts w:ascii="仿宋" w:hAnsi="仿宋" w:eastAsia="仿宋"/>
          <w:b w:val="0"/>
          <w:sz w:val="30"/>
        </w:rPr>
        <w:t>2. 向书记员核对案号、审理程序、举证期限、反诉和申请证人、鉴定截止日期。</w:t>
      </w:r>
    </w:p>
    <w:p>
      <w:pPr>
        <w:ind w:firstLine="0" w:left="0"/>
      </w:pPr>
      <w:r>
        <w:rPr>
          <w:rFonts w:ascii="仿宋" w:hAnsi="仿宋" w:eastAsia="仿宋"/>
          <w:b w:val="0"/>
          <w:sz w:val="30"/>
        </w:rPr>
        <w:t>3. 固定律师朋友身份与出庭意愿；取得其本人亲历事实提纲，不诱导结论。</w:t>
      </w:r>
    </w:p>
    <w:p>
      <w:pPr>
        <w:ind w:firstLine="0" w:left="0"/>
      </w:pPr>
      <w:r>
        <w:rPr>
          <w:rFonts w:ascii="仿宋" w:hAnsi="仿宋" w:eastAsia="仿宋"/>
          <w:b w:val="0"/>
          <w:sz w:val="30"/>
        </w:rPr>
        <w:t>4. 重新固定天台原始照片、视频、完整微信群和点位图，核查群内是否有物业人员及回复。</w:t>
      </w:r>
    </w:p>
    <w:p>
      <w:pPr>
        <w:ind w:firstLine="0" w:left="0"/>
      </w:pPr>
      <w:r>
        <w:rPr>
          <w:rFonts w:ascii="仿宋" w:hAnsi="仿宋" w:eastAsia="仿宋"/>
          <w:b w:val="0"/>
          <w:sz w:val="30"/>
        </w:rPr>
        <w:t>5. 要求原告当庭携带个人协议原件和微信原始手机；对新证据按来源、形成、完整性、对应期间逐项质证。</w:t>
      </w:r>
    </w:p>
    <w:sectPr w:rsidR="00FC693F" w:rsidRPr="0006063C" w:rsidSect="00034616">
      <w:footerReference w:type="default" r:id="rId9"/>
      <w:pgSz w:w="11906" w:h="16838"/>
      <w:pgMar w:top="1587" w:right="1587"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eastAsia="宋体"/>
        <w:b w:val="0"/>
        <w:sz w:val="21"/>
      </w:rPr>
      <w:t xml:space="preserve">第 </w:t>
    </w:r>
    <w:fldSimple w:instr="PAGE">
      <w:r>
        <w:rPr>
          <w:rFonts w:eastAsia="宋体"/>
          <w:sz w:val="21"/>
        </w:rPr>
        <w:t>1</w:t>
      </w:r>
    </w:fldSimple>
    <w:r>
      <w:rPr>
        <w:rFonts w:ascii="宋体" w:hAnsi="宋体" w:eastAsia="宋体"/>
        <w:b w:val="0"/>
        <w:sz w:val="21"/>
      </w:rPr>
      <w:t xml:space="preserve"> 页</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ind w:firstLine="600"/>
    </w:pPr>
    <w:rPr>
      <w:rFonts w:ascii="仿宋" w:hAnsi="仿宋" w:eastAsia="仿宋"/>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line="360" w:lineRule="auto"/>
      <w:outlineLvl w:val="0"/>
    </w:pPr>
    <w:rPr>
      <w:rFonts w:asciiTheme="majorHAnsi" w:eastAsiaTheme="majorEastAsia" w:hAnsiTheme="majorHAnsi" w:cstheme="majorBidi" w:ascii="仿宋" w:hAnsi="仿宋" w:eastAsia="仿宋"/>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0" w:after="0" w:line="360" w:lineRule="auto"/>
      <w:outlineLvl w:val="1"/>
    </w:pPr>
    <w:rPr>
      <w:rFonts w:asciiTheme="majorHAnsi" w:eastAsiaTheme="majorEastAsia" w:hAnsiTheme="majorHAnsi" w:cstheme="majorBidi" w:ascii="仿宋" w:hAnsi="仿宋" w:eastAsia="仿宋"/>
      <w:b/>
      <w:bCs/>
      <w:color w:val="4F81BD" w:themeColor="accent1"/>
      <w:sz w:val="30"/>
      <w:szCs w:val="26"/>
    </w:rPr>
  </w:style>
  <w:style w:type="paragraph" w:styleId="Heading3">
    <w:name w:val="heading 3"/>
    <w:basedOn w:val="Normal"/>
    <w:next w:val="Normal"/>
    <w:link w:val="Heading3Char"/>
    <w:uiPriority w:val="9"/>
    <w:unhideWhenUsed/>
    <w:qFormat/>
    <w:rsid w:val="00FC693F"/>
    <w:pPr>
      <w:keepNext/>
      <w:keepLines/>
      <w:spacing w:before="0" w:after="0" w:line="360" w:lineRule="auto"/>
      <w:outlineLvl w:val="2"/>
    </w:pPr>
    <w:rPr>
      <w:rFonts w:asciiTheme="majorHAnsi" w:eastAsiaTheme="majorEastAsia" w:hAnsiTheme="majorHAnsi" w:cstheme="majorBidi" w:ascii="仿宋" w:hAnsi="仿宋" w:eastAsia="仿宋"/>
      <w:b/>
      <w:bCs/>
      <w:color w:val="4F81BD" w:themeColor="accent1"/>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0" w:line="360" w:lineRule="auto" w:before="0"/>
      <w:contextualSpacing/>
    </w:pPr>
    <w:rPr>
      <w:rFonts w:asciiTheme="majorHAnsi" w:eastAsiaTheme="majorEastAsia" w:hAnsiTheme="majorHAnsi" w:cstheme="majorBidi" w:ascii="仿宋" w:hAnsi="仿宋" w:eastAsia="仿宋"/>
      <w:b/>
      <w:color w:val="17365D" w:themeColor="text2" w:themeShade="BF"/>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庭前程序申请提交顺序及操作指南</dc:title>
  <dc:subject>李国平物业费案庭前程序申请文件</dc:subject>
  <dc:creator>李国平</dc:creator>
  <cp:keywords/>
  <dc:description>generated by python-docx</dc:description>
  <cp:lastModifiedBy/>
  <cp:revision>1</cp:revision>
  <dcterms:created xsi:type="dcterms:W3CDTF">2013-12-23T23:15:00Z</dcterms:created>
  <dcterms:modified xsi:type="dcterms:W3CDTF">2013-12-23T23:15:00Z</dcterms:modified>
  <cp:category/>
</cp:coreProperties>
</file>