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本案二审首先要回答的，不是合同履行了多少年，而是一审在项目总面积被大幅补正、招投标公正性审查错位、资质时间和B/C区真实合同文本尚未查清的情况下，能否直接维持合同有效结论。上诉人的请求是：事实足以认定无效时依法改判；基本事实仍不清时依法发回重审。</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委托诉讼代理人：____________</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