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44"/>
        </w:rPr>
        <w:t>2026年9月10日二审开庭操作清单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一、开庭前一天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从受理通知书核对二审案号、合议庭、法庭地点和入场要求；把案号写入全部正式文件。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补齐民事补正裁定原件或盖章复制件；未补到时，证据目录仍保留“待补”，不得用自己复述替代证据。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检查正式提交六项材料的签名、日期、页码、份数和装订；证据册页码与目录一致。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分五袋装：正式提交、证据原件、自己使用、视情况提交、备用复印件。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重新核对六个数字：30060.52、329304.21、94153.03、234602.58、328755.61、548.60平方米。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6. 重新核对三个日期：A区2014年6月16日；B/C中标2016年4月22日；现有B/C合同2016年8月31日。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二、出门前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身份证、传票/开庭通知、手机、充电宝、眼镜、笔、便签。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正式材料四套、原件一袋、一页纸速查、2分钟稿、30秒稿。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手机静音前保留书记员联系电话；所有电子材料另存U盘，但服从法院安检和电子设备规定。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三、到法院后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提前至少45分钟到达；确认法庭和书记员。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询问二审案号并补写在正式材料封面；确认提交份数。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提交材料时请收件人员在本人留存目录上签收或盖收件章。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如对方当场交新证据，只签收“收到”，不要签“无异议”。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四、法庭调查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先确认上诉请求：查明后改判；基本事实仍不清则发回重审。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对一审事实先锁定补正内容，再讲合同面积和548.60平方米差额。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发问顺序：面积和分期→2014/2016资质→赵力→B/C版本→底卷→总分公司授权。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对方答“不清楚”时请求记录，并要求限期提交具体文件。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5. 行政裁判只按限定证明目的使用，不说已确认民事合同无效或有效。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五、举证、质证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逐份说明证据名称、页码、来源和证明目的。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补正裁定原件未带到时如实说明，请法院从一审卷宗核验。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对方只交复印件时要求核原件；对方交授权书时查授权日期、范围、是否追认和与投标文件关系。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对方突然提交大量底卷、资质或合同版本时，申请复制并给予书面质证期限，不仓促作终局意见。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六、法庭辩论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优先讲三件事：面积补正、第三十四条错位、B/C版本与底卷。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不与对方争论“同集团是否道德”；只问是否审查利害关系可能影响公正性。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主动承认四个限制：关联不当然违法；资质瑕疵不当然无效；资料未找到不等于未招标；长期履行有法律意义。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每承认一个限制，马上回到结论：因此更需要查清，原判不能在未查清时维持。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七、最后陈述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使用30秒版本，不重复全部事实。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明确说出“查明后改判；基本事实不清则发回重审”。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请求法庭对调查取证申请作出处理，并允许对新证据书面质证。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八、庭后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1. 当日记录法庭要求补交的材料、期限和对方承诺提交事项。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2. 如有新证据，在期限内提交逐项书面质证；保留发送和收件凭证。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3. 补充材料只回应庭审新问题，不重复整篇代理意见。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4. 与书记员确认调查取证申请是否需要补充机关名称、线索或证明目的。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