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ind w:firstLine="0"/>
        <w:jc w:val="center"/>
      </w:pPr>
      <w:r>
        <w:rPr>
          <w:rFonts w:ascii="宋体" w:hAnsi="宋体" w:eastAsia="宋体"/>
          <w:b/>
          <w:sz w:val="44"/>
        </w:rPr>
        <w:t>2026年9月10日二审提交材料总目录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二审案号：二审案号以受理通知书为准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一审案号：（2025）湘0105民初27046号</w:t>
      </w:r>
    </w:p>
    <w:p>
      <w:pPr>
        <w:ind w:firstLine="0"/>
        <w:jc w:val="right"/>
      </w:pPr>
      <w:r>
        <w:rPr>
          <w:rFonts w:ascii="仿宋" w:hAnsi="仿宋" w:eastAsia="仿宋"/>
          <w:b w:val="0"/>
          <w:sz w:val="30"/>
        </w:rPr>
        <w:t>上诉人：李国平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被上诉人一：中铁建物业管理有限公司长沙分公司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被上诉人二：中铁房地产集团长沙置业有限公司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说明：份数以法院书记员最新要求为准。若未获明确答复，按法院一套、两名被上诉人各一套、本人留存一套，共四套准备；证据原件另行携带核对，不装订交走。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一、正式提交法院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154"/>
        <w:gridCol w:w="2154"/>
        <w:gridCol w:w="2154"/>
        <w:gridCol w:w="2154"/>
      </w:tblGrid>
      <w:tr>
        <w:tc>
          <w:tcPr>
            <w:tcW w:type="dxa" w:w="2154"/>
            <w:vAlign w:val="center"/>
            <w:shd w:fill="D9EAF2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/>
                <w:sz w:val="21"/>
              </w:rPr>
              <w:t>序号</w:t>
            </w:r>
          </w:p>
        </w:tc>
        <w:tc>
          <w:tcPr>
            <w:tcW w:type="dxa" w:w="2154"/>
            <w:vAlign w:val="center"/>
            <w:shd w:fill="D9EAF2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/>
                <w:sz w:val="21"/>
              </w:rPr>
              <w:t>材料</w:t>
            </w:r>
          </w:p>
        </w:tc>
        <w:tc>
          <w:tcPr>
            <w:tcW w:type="dxa" w:w="2154"/>
            <w:vAlign w:val="center"/>
            <w:shd w:fill="D9EAF2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/>
                <w:sz w:val="21"/>
              </w:rPr>
              <w:t>建议份数</w:t>
            </w:r>
          </w:p>
        </w:tc>
        <w:tc>
          <w:tcPr>
            <w:tcW w:type="dxa" w:w="2154"/>
            <w:vAlign w:val="center"/>
            <w:shd w:fill="D9EAF2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1</w:t>
            </w:r>
          </w:p>
        </w:tc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二审代理意见正式提交版</w:t>
            </w:r>
          </w:p>
        </w:tc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4</w:t>
            </w:r>
          </w:p>
        </w:tc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签名、注明日期；法院及双方各一套</w:t>
            </w:r>
          </w:p>
        </w:tc>
      </w:tr>
      <w:tr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2</w:t>
            </w:r>
          </w:p>
        </w:tc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关于一审补正裁定及实体法律后果的补充代理意见</w:t>
            </w:r>
          </w:p>
        </w:tc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4</w:t>
            </w:r>
          </w:p>
        </w:tc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与补正裁定复制件一并提交</w:t>
            </w:r>
          </w:p>
        </w:tc>
      </w:tr>
      <w:tr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3</w:t>
            </w:r>
          </w:p>
        </w:tc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二审调查取证申请书</w:t>
            </w:r>
          </w:p>
        </w:tc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4</w:t>
            </w:r>
          </w:p>
        </w:tc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另附材料线索表；请求法院作出处理</w:t>
            </w:r>
          </w:p>
        </w:tc>
      </w:tr>
      <w:tr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4</w:t>
            </w:r>
          </w:p>
        </w:tc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二审证据目录</w:t>
            </w:r>
          </w:p>
        </w:tc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4</w:t>
            </w:r>
          </w:p>
        </w:tc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最终页码以装订证据册为准</w:t>
            </w:r>
          </w:p>
        </w:tc>
      </w:tr>
      <w:tr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5</w:t>
            </w:r>
          </w:p>
        </w:tc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二审新证据及补充证据说明</w:t>
            </w:r>
          </w:p>
        </w:tc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4</w:t>
            </w:r>
          </w:p>
        </w:tc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不把缺失线索装成已取得证据</w:t>
            </w:r>
          </w:p>
        </w:tc>
      </w:tr>
      <w:tr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6</w:t>
            </w:r>
          </w:p>
        </w:tc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二审证据册</w:t>
            </w:r>
          </w:p>
        </w:tc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4</w:t>
            </w:r>
          </w:p>
        </w:tc>
        <w:tc>
          <w:tcPr>
            <w:tcW w:type="dxa" w:w="2154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仅收入已经取得、能够提交的材料</w:t>
            </w:r>
          </w:p>
        </w:tc>
      </w:tr>
    </w:tbl>
    <w:p/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二、视庭审情况提交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873"/>
        <w:gridCol w:w="2873"/>
        <w:gridCol w:w="2873"/>
      </w:tblGrid>
      <w:tr>
        <w:tc>
          <w:tcPr>
            <w:tcW w:type="dxa" w:w="2873"/>
            <w:vAlign w:val="center"/>
            <w:shd w:fill="D9EAF2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/>
                <w:sz w:val="21"/>
              </w:rPr>
              <w:t>材料</w:t>
            </w:r>
          </w:p>
        </w:tc>
        <w:tc>
          <w:tcPr>
            <w:tcW w:type="dxa" w:w="2873"/>
            <w:vAlign w:val="center"/>
            <w:shd w:fill="D9EAF2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/>
                <w:sz w:val="21"/>
              </w:rPr>
              <w:t>提交条件</w:t>
            </w:r>
          </w:p>
        </w:tc>
        <w:tc>
          <w:tcPr>
            <w:tcW w:type="dxa" w:w="2873"/>
            <w:vAlign w:val="center"/>
            <w:shd w:fill="D9EAF2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/>
                <w:sz w:val="21"/>
              </w:rPr>
              <w:t>建议份数</w:t>
            </w:r>
          </w:p>
        </w:tc>
      </w:tr>
      <w:tr>
        <w:tc>
          <w:tcPr>
            <w:tcW w:type="dxa" w:w="2873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补充书面质证意见</w:t>
            </w:r>
          </w:p>
        </w:tc>
        <w:tc>
          <w:tcPr>
            <w:tcW w:type="dxa" w:w="2873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对方提交新证据或者法庭要求</w:t>
            </w:r>
          </w:p>
        </w:tc>
        <w:tc>
          <w:tcPr>
            <w:tcW w:type="dxa" w:w="2873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4</w:t>
            </w:r>
          </w:p>
        </w:tc>
      </w:tr>
      <w:tr>
        <w:tc>
          <w:tcPr>
            <w:tcW w:type="dxa" w:w="2873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延期举证/补充质证期限申请</w:t>
            </w:r>
          </w:p>
        </w:tc>
        <w:tc>
          <w:tcPr>
            <w:tcW w:type="dxa" w:w="2873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对方临时大量补证，无法当庭核验</w:t>
            </w:r>
          </w:p>
        </w:tc>
        <w:tc>
          <w:tcPr>
            <w:tcW w:type="dxa" w:w="2873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4</w:t>
            </w:r>
          </w:p>
        </w:tc>
      </w:tr>
      <w:tr>
        <w:tc>
          <w:tcPr>
            <w:tcW w:type="dxa" w:w="2873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针对总分公司授权的补充意见</w:t>
            </w:r>
          </w:p>
        </w:tc>
        <w:tc>
          <w:tcPr>
            <w:tcW w:type="dxa" w:w="2873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对方首次提交授权书</w:t>
            </w:r>
          </w:p>
        </w:tc>
        <w:tc>
          <w:tcPr>
            <w:tcW w:type="dxa" w:w="2873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4</w:t>
            </w:r>
          </w:p>
        </w:tc>
      </w:tr>
      <w:tr>
        <w:tc>
          <w:tcPr>
            <w:tcW w:type="dxa" w:w="2873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针对资质升级日期的补充意见</w:t>
            </w:r>
          </w:p>
        </w:tc>
        <w:tc>
          <w:tcPr>
            <w:tcW w:type="dxa" w:w="2873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调取或补交一级资质批复后</w:t>
            </w:r>
          </w:p>
        </w:tc>
        <w:tc>
          <w:tcPr>
            <w:tcW w:type="dxa" w:w="2873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4</w:t>
            </w:r>
          </w:p>
        </w:tc>
      </w:tr>
    </w:tbl>
    <w:p/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三、仅自己携带、不入卷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1. 二审庭审发问提纲一份。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2. 二审法官可能提问及回答提纲一份。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3. 二审5分钟口头代理意见一份。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4. 二审2分钟核心陈述一份。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5. 30秒最后陈述一份。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6. 庭审异议与即时回应速查表一份。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7. 一页纸速查两份，一份桌面使用、一份备用。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8. 反方压力测试报告、版本评分表、事实冻结表和冲突清单，仅内部使用。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四、原件核对材料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1. 一审判决书原件或法院送达件。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2. 民事补正裁定书原件或盖章复制件【待补】。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3. 一审庭审笔录可核验版本。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4. A区、B/C区合同现有来源载体；合同原件请求二被上诉人提交。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5. A区招投标备案表、中标通知书、驻长备案证明、行政裁判及政府回复的原件或盖章件。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6. 工商档案查询材料原始下载件或查询凭证。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五、备用复印件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1. 每份核心裁判、合同首页/面积页/签章页和备案表另备2份。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2. 官方法条打印件1套，仅在法庭对条文版本或原文有争议时出示。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3. 空白签收清单2份，提交时请书记员在留存件注明收件日期、份数和材料名称。</w:t>
      </w:r>
    </w:p>
    <w:p>
      <w:r>
        <w:rPr>
          <w:rFonts w:ascii="仿宋" w:hAnsi="仿宋" w:eastAsia="仿宋"/>
          <w:b w:val="0"/>
          <w:sz w:val="30"/>
        </w:rPr>
        <w:t>提交人：李国平</w:t>
      </w:r>
    </w:p>
    <w:p>
      <w:pPr>
        <w:ind w:firstLine="0"/>
        <w:jc w:val="right"/>
      </w:pPr>
      <w:r>
        <w:rPr>
          <w:rFonts w:ascii="仿宋" w:hAnsi="仿宋" w:eastAsia="仿宋"/>
          <w:b w:val="0"/>
          <w:sz w:val="30"/>
        </w:rPr>
        <w:t>2026年9月　日</w:t>
      </w:r>
    </w:p>
    <w:sectPr w:rsidR="00FC693F" w:rsidRPr="0006063C" w:rsidSect="00034616">
      <w:footerReference w:type="default" r:id="rId9"/>
      <w:pgSz w:w="11906" w:h="16838"/>
      <w:pgMar w:top="1587" w:right="158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</w:rPr>
      <w:t xml:space="preserve">第 </w:t>
    </w:r>
    <w:fldSimple w:instr="PAGE">
      <w:r>
        <w:rPr>
          <w:rFonts w:eastAsia="宋体"/>
          <w:sz w:val="21"/>
        </w:rPr>
        <w:t>1</w:t>
      </w:r>
    </w:fldSimple>
    <w:r>
      <w:rPr>
        <w:rFonts w:ascii="宋体" w:hAnsi="宋体" w:eastAsia="宋体"/>
        <w:b w:val="0"/>
        <w:sz w:val="21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600"/>
    </w:pPr>
    <w:rPr>
      <w:rFonts w:ascii="仿宋" w:hAnsi="仿宋" w:eastAsia="仿宋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360" w:lineRule="auto"/>
      <w:outlineLvl w:val="0"/>
    </w:pPr>
    <w:rPr>
      <w:rFonts w:asciiTheme="majorHAnsi" w:eastAsiaTheme="majorEastAsia" w:hAnsiTheme="majorHAnsi" w:cstheme="majorBidi" w:ascii="仿宋" w:hAnsi="仿宋" w:eastAsia="仿宋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360" w:lineRule="auto"/>
      <w:outlineLvl w:val="1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360" w:lineRule="auto"/>
      <w:outlineLvl w:val="2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360" w:lineRule="auto" w:before="0"/>
      <w:contextualSpacing/>
    </w:pPr>
    <w:rPr>
      <w:rFonts w:asciiTheme="majorHAnsi" w:eastAsiaTheme="majorEastAsia" w:hAnsiTheme="majorHAnsi" w:cstheme="majorBidi" w:ascii="仿宋" w:hAnsi="仿宋" w:eastAsia="仿宋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李国平前期物业合同无效案二审材料</dc:subject>
  <dc:creator>李国平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