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ind w:firstLine="0"/>
        <w:jc w:val="center"/>
      </w:pPr>
      <w:r>
        <w:rPr>
          <w:rFonts w:ascii="宋体" w:hAnsi="宋体" w:eastAsia="宋体"/>
          <w:b/>
          <w:sz w:val="36"/>
        </w:rPr>
        <w:t>二审庭审一页纸速查</w:t>
      </w:r>
    </w:p>
    <w:p>
      <w:pPr>
        <w:ind w:firstLine="0"/>
      </w:pPr>
      <w:r>
        <w:rPr>
          <w:rFonts w:ascii="仿宋" w:hAnsi="仿宋" w:eastAsia="仿宋"/>
          <w:b w:val="0"/>
          <w:sz w:val="23"/>
        </w:rPr>
        <w:t>一审案号：（2025）湘0105民初27046号　　二审案号：以受理通知书为准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23"/>
        </w:rPr>
        <w:t>两个主攻</w:t>
      </w:r>
    </w:p>
    <w:p>
      <w:r>
        <w:rPr>
          <w:rFonts w:ascii="仿宋" w:hAnsi="仿宋" w:eastAsia="仿宋"/>
          <w:b w:val="0"/>
          <w:sz w:val="23"/>
        </w:rPr>
        <w:t>一、329304.21㎡＋分期资质</w:t>
      </w:r>
    </w:p>
    <w:p>
      <w:r>
        <w:rPr>
          <w:rFonts w:ascii="仿宋" w:hAnsi="仿宋" w:eastAsia="仿宋"/>
          <w:b w:val="0"/>
          <w:sz w:val="23"/>
        </w:rPr>
        <w:t>原判30060.52㎡，补正为329304.21㎡；A区合同94153.03㎡，B/C区234602.58㎡，合计328755.61㎡，差548.60㎡。A区合同写二级资质。若A/B/C属于同一分期、2014年确仅二级，必须审查二级资质30万㎡以下承接范围。不是“超过即当然无效”，而是原判未在正确面积上审查。</w:t>
      </w:r>
    </w:p>
    <w:p>
      <w:r>
        <w:rPr>
          <w:rFonts w:ascii="仿宋" w:hAnsi="仿宋" w:eastAsia="仿宋"/>
          <w:b w:val="0"/>
          <w:sz w:val="23"/>
        </w:rPr>
        <w:t>二、赵力＋第34条第一款</w:t>
      </w:r>
    </w:p>
    <w:p>
      <w:r>
        <w:rPr>
          <w:rFonts w:ascii="仿宋" w:hAnsi="仿宋" w:eastAsia="仿宋"/>
          <w:b w:val="0"/>
          <w:sz w:val="23"/>
        </w:rPr>
        <w:t>A区备案表：招标方法定代表人赵力；中标企业负责人赵力；两企业同一集团100%控股。关联不当然违法，但原判用第二款“不同投标人”回应第一款“招标人与投标人”，又把“可能影响公正性”提高成“结果受到实质影响”。必须调取投标、评标底卷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23"/>
        </w:rPr>
        <w:t>三个待查</w:t>
      </w:r>
    </w:p>
    <w:p>
      <w:pPr>
        <w:ind w:firstLine="0"/>
      </w:pPr>
      <w:r>
        <w:rPr>
          <w:rFonts w:ascii="仿宋" w:hAnsi="仿宋" w:eastAsia="仿宋"/>
          <w:b w:val="0"/>
          <w:sz w:val="23"/>
        </w:rPr>
        <w:t>1. A/B/C是否同一分期项目，329304.21㎡与合同面积口径。</w:t>
      </w:r>
    </w:p>
    <w:p>
      <w:pPr>
        <w:ind w:firstLine="0"/>
      </w:pPr>
      <w:r>
        <w:rPr>
          <w:rFonts w:ascii="仿宋" w:hAnsi="仿宋" w:eastAsia="仿宋"/>
          <w:b w:val="0"/>
          <w:sz w:val="23"/>
        </w:rPr>
        <w:t>2. 2014年真实资质；一级资质何时批准，2016-04-22中标时是否生效。</w:t>
      </w:r>
    </w:p>
    <w:p>
      <w:pPr>
        <w:ind w:firstLine="0"/>
      </w:pPr>
      <w:r>
        <w:rPr>
          <w:rFonts w:ascii="仿宋" w:hAnsi="仿宋" w:eastAsia="仿宋"/>
          <w:b w:val="0"/>
          <w:sz w:val="23"/>
        </w:rPr>
        <w:t>3. B/C区2016年5月31日与8月31日真实文本、备案版本和形成过程。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23"/>
        </w:rPr>
        <w:t>两个请求</w:t>
      </w:r>
    </w:p>
    <w:p>
      <w:pPr>
        <w:ind w:firstLine="0"/>
      </w:pPr>
      <w:r>
        <w:rPr>
          <w:rFonts w:ascii="仿宋" w:hAnsi="仿宋" w:eastAsia="仿宋"/>
          <w:b w:val="0"/>
          <w:sz w:val="23"/>
        </w:rPr>
        <w:t>1. 事实查清并达到无效标准：依法改判。</w:t>
      </w:r>
    </w:p>
    <w:p>
      <w:pPr>
        <w:ind w:firstLine="0"/>
      </w:pPr>
      <w:r>
        <w:rPr>
          <w:rFonts w:ascii="仿宋" w:hAnsi="仿宋" w:eastAsia="仿宋"/>
          <w:b w:val="0"/>
          <w:sz w:val="23"/>
        </w:rPr>
        <w:t>2. 分期、资质、合同文本和底卷仍不清：依民诉法第177条撤销原判、发回重审。</w:t>
      </w:r>
    </w:p>
    <w:p>
      <w:pPr>
        <w:pStyle w:val="Heading2"/>
        <w:ind w:firstLine="0"/>
      </w:pPr>
      <w:r>
        <w:rPr>
          <w:rFonts w:ascii="仿宋" w:hAnsi="仿宋" w:eastAsia="仿宋"/>
          <w:b w:val="0"/>
          <w:sz w:val="23"/>
        </w:rPr>
        <w:t>三句必须问</w:t>
      </w:r>
    </w:p>
    <w:p>
      <w:pPr>
        <w:ind w:firstLine="0"/>
      </w:pPr>
      <w:r>
        <w:rPr>
          <w:rFonts w:ascii="仿宋" w:hAnsi="仿宋" w:eastAsia="仿宋"/>
          <w:b w:val="0"/>
          <w:sz w:val="23"/>
        </w:rPr>
        <w:t>1. “请二被上诉人明确：329304.21平方米来自哪份规划文件，A、B、C区是不是同一分期开发项目？”</w:t>
      </w:r>
    </w:p>
    <w:p>
      <w:pPr>
        <w:ind w:firstLine="0"/>
      </w:pPr>
      <w:r>
        <w:rPr>
          <w:rFonts w:ascii="仿宋" w:hAnsi="仿宋" w:eastAsia="仿宋"/>
          <w:b w:val="0"/>
          <w:sz w:val="23"/>
        </w:rPr>
        <w:t>2. “请指出2016年4月22日中标时一级资质已经生效的批准文件和具体日期。”</w:t>
      </w:r>
    </w:p>
    <w:p>
      <w:pPr>
        <w:ind w:firstLine="0"/>
      </w:pPr>
      <w:r>
        <w:rPr>
          <w:rFonts w:ascii="仿宋" w:hAnsi="仿宋" w:eastAsia="仿宋"/>
          <w:b w:val="0"/>
          <w:sz w:val="23"/>
        </w:rPr>
        <w:t>3. “请把2016年5月31日、8月31日合同原件和备案版本拿出来，说明哪一份才是本案审查对象。”</w:t>
      </w:r>
    </w:p>
    <w:p>
      <w:r>
        <w:rPr>
          <w:rFonts w:ascii="仿宋" w:hAnsi="仿宋" w:eastAsia="仿宋"/>
          <w:b w:val="0"/>
          <w:sz w:val="23"/>
        </w:rPr>
        <w:t>底线：不说串标已成立；不说一真一假；不说档案没找到等于没招标；不说二级超过30万就当然无效。</w:t>
      </w:r>
    </w:p>
    <w:sectPr w:rsidR="00FC693F" w:rsidRPr="0006063C" w:rsidSect="00034616">
      <w:footerReference w:type="default" r:id="rId9"/>
      <w:pgSz w:w="11906" w:h="16838"/>
      <w:pgMar w:top="1587" w:right="158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1"/>
      </w:rPr>
      <w:t xml:space="preserve">第 </w:t>
    </w:r>
    <w:fldSimple w:instr="PAGE">
      <w:r>
        <w:rPr>
          <w:rFonts w:eastAsia="宋体"/>
          <w:sz w:val="21"/>
        </w:rPr>
        <w:t>1</w:t>
      </w:r>
    </w:fldSimple>
    <w:r>
      <w:rPr>
        <w:rFonts w:ascii="宋体" w:hAnsi="宋体" w:eastAsia="宋体"/>
        <w:b w:val="0"/>
        <w:sz w:val="21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0"/>
      <w:ind w:firstLine="460"/>
    </w:pPr>
    <w:rPr>
      <w:rFonts w:ascii="仿宋" w:hAnsi="仿宋" w:eastAsia="仿宋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76" w:lineRule="auto"/>
      <w:outlineLvl w:val="0"/>
    </w:pPr>
    <w:rPr>
      <w:rFonts w:asciiTheme="majorHAnsi" w:eastAsiaTheme="majorEastAsia" w:hAnsiTheme="majorHAnsi" w:cstheme="majorBidi" w:ascii="仿宋" w:hAnsi="仿宋" w:eastAsia="仿宋"/>
      <w:b/>
      <w:bCs/>
      <w:color w:val="365F91" w:themeColor="accent1" w:themeShade="B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76" w:lineRule="auto"/>
      <w:outlineLvl w:val="1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276" w:lineRule="auto"/>
      <w:outlineLvl w:val="2"/>
    </w:pPr>
    <w:rPr>
      <w:rFonts w:asciiTheme="majorHAnsi" w:eastAsiaTheme="majorEastAsia" w:hAnsiTheme="majorHAnsi" w:cstheme="majorBidi" w:ascii="仿宋" w:hAnsi="仿宋" w:eastAsia="仿宋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76" w:lineRule="auto" w:before="0"/>
      <w:contextualSpacing/>
    </w:pPr>
    <w:rPr>
      <w:rFonts w:asciiTheme="majorHAnsi" w:eastAsiaTheme="majorEastAsia" w:hAnsiTheme="majorHAnsi" w:cstheme="majorBidi" w:ascii="仿宋" w:hAnsi="仿宋" w:eastAsia="仿宋"/>
      <w:b/>
      <w:color w:val="17365D" w:themeColor="text2" w:themeShade="BF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李国平前期物业合同无效案二审材料</dc:subject>
  <dc:creator>李国平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