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二审最后陈述（30秒版）</w:t>
      </w:r>
    </w:p>
    <w:p>
      <w:r>
        <w:rPr>
          <w:rFonts w:ascii="仿宋" w:hAnsi="仿宋" w:eastAsia="仿宋"/>
          <w:b w:val="0"/>
          <w:sz w:val="30"/>
        </w:rPr>
        <w:t>原判把山语城三期总面积从约3.01万平方米补正为32.93万平方米，却没有重新审查分期开发和二级资质承接范围；对招标方法定代表人与中标企业负责人同为赵力的问题，又用错第三十四条款项并提高证明标准。请求二审查清资质、招投标底卷和B/C区合同原件后依法改判；基本事实仍不清的，撤销原判、发回重审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