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ind w:firstLine="0"/>
        <w:jc w:val="center"/>
      </w:pPr>
      <w:r>
        <w:rPr>
          <w:rFonts w:ascii="宋体" w:hAnsi="宋体" w:eastAsia="宋体"/>
          <w:b/>
          <w:sz w:val="44"/>
        </w:rPr>
        <w:t>二审2分钟核心陈述</w:t>
      </w:r>
    </w:p>
    <w:p>
      <w:r>
        <w:rPr>
          <w:rFonts w:ascii="仿宋" w:hAnsi="仿宋" w:eastAsia="仿宋"/>
          <w:b w:val="0"/>
          <w:sz w:val="30"/>
        </w:rPr>
        <w:t>审判长、审判员：</w:t>
      </w:r>
    </w:p>
    <w:p>
      <w:r>
        <w:rPr>
          <w:rFonts w:ascii="仿宋" w:hAnsi="仿宋" w:eastAsia="仿宋"/>
          <w:b w:val="0"/>
          <w:sz w:val="30"/>
        </w:rPr>
        <w:t>我只讲两个事实和一个请求。</w:t>
      </w:r>
    </w:p>
    <w:p>
      <w:r>
        <w:rPr>
          <w:rFonts w:ascii="仿宋" w:hAnsi="仿宋" w:eastAsia="仿宋"/>
          <w:b w:val="0"/>
          <w:sz w:val="30"/>
        </w:rPr>
        <w:t>第一个事实是面积。原判把山语城三期总建筑面积写成30060.52平方米，补正裁定改为329304.21平方米，是从约3.01万平方米改成32.93万平方米。A区合同载明二级资质，当时二级资质承接住宅项目的范围是30万平方米以下。如果A、B、C区属于同一分期开发项目，2014年资质是否匹配就必须重新审查。补正裁定改了数字，没有补做实体审查。</w:t>
      </w:r>
    </w:p>
    <w:p>
      <w:r>
        <w:rPr>
          <w:rFonts w:ascii="仿宋" w:hAnsi="仿宋" w:eastAsia="仿宋"/>
          <w:b w:val="0"/>
          <w:sz w:val="30"/>
        </w:rPr>
        <w:t>第二个事实是赵力。A区备案表记载，招标方法定代表人是赵力，中标企业负责人也是赵力，两企业又由同一集团100%控股。我们不主张关联就当然违法。但原判用第三十四条第二款回应第一款问题，又把“可能影响招标公正性”提高成“已经对结果产生实质影响”。投标人名单、投标文件、评标报告和评分表都没有查，不能直接认定公正性没有受到影响。</w:t>
      </w:r>
    </w:p>
    <w:p>
      <w:r>
        <w:rPr>
          <w:rFonts w:ascii="仿宋" w:hAnsi="仿宋" w:eastAsia="仿宋"/>
          <w:b w:val="0"/>
          <w:sz w:val="30"/>
        </w:rPr>
        <w:t>因此，请二审调取分期规划、资质升级、招投标底卷和B/C区合同原件。查明后达到无效标准，请依法改判；基本事实仍不清，请依《民事诉讼法》第一百七十七条撤销原判、发回重审。</w:t>
      </w:r>
    </w:p>
    <w:sectPr w:rsidR="00FC693F" w:rsidRPr="0006063C" w:rsidSect="00034616">
      <w:footerReference w:type="default" r:id="rId9"/>
      <w:pgSz w:w="11906" w:h="16838"/>
      <w:pgMar w:top="1587" w:right="158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fldSimple w:instr="PAGE">
      <w:r>
        <w:rPr>
          <w:rFonts w:eastAsia="宋体"/>
          <w:sz w:val="21"/>
        </w:rPr>
        <w:t>1</w:t>
      </w:r>
    </w:fldSimple>
    <w:r>
      <w:rPr>
        <w:rFonts w:ascii="宋体" w:hAnsi="宋体" w:eastAsia="宋体"/>
        <w:b w:val="0"/>
        <w:sz w:val="21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600"/>
    </w:pPr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360" w:lineRule="auto"/>
      <w:outlineLvl w:val="0"/>
    </w:pPr>
    <w:rPr>
      <w:rFonts w:asciiTheme="majorHAnsi" w:eastAsiaTheme="majorEastAsia" w:hAnsiTheme="majorHAnsi" w:cstheme="majorBidi" w:ascii="仿宋" w:hAnsi="仿宋" w:eastAsia="仿宋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360" w:lineRule="auto"/>
      <w:outlineLvl w:val="1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360" w:lineRule="auto"/>
      <w:outlineLvl w:val="2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360" w:lineRule="auto" w:before="0"/>
      <w:contextualSpacing/>
    </w:pPr>
    <w:rPr>
      <w:rFonts w:asciiTheme="majorHAnsi" w:eastAsiaTheme="majorEastAsia" w:hAnsiTheme="majorHAnsi" w:cstheme="majorBidi" w:ascii="仿宋" w:hAnsi="仿宋" w:eastAsia="仿宋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李国平前期物业合同无效案二审材料</dc:subject>
  <dc:creator>李国平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