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ind w:firstLine="0"/>
        <w:jc w:val="center"/>
      </w:pPr>
      <w:r>
        <w:rPr>
          <w:rFonts w:ascii="宋体" w:hAnsi="宋体" w:eastAsia="宋体"/>
          <w:b/>
          <w:sz w:val="44"/>
        </w:rPr>
        <w:t>二审5分钟口头代理意见</w:t>
      </w:r>
    </w:p>
    <w:p>
      <w:r>
        <w:rPr>
          <w:rFonts w:ascii="仿宋" w:hAnsi="仿宋" w:eastAsia="仿宋"/>
          <w:b w:val="0"/>
          <w:sz w:val="30"/>
        </w:rPr>
        <w:t>审判长、审判员：</w:t>
      </w:r>
    </w:p>
    <w:p>
      <w:r>
        <w:rPr>
          <w:rFonts w:ascii="仿宋" w:hAnsi="仿宋" w:eastAsia="仿宋"/>
          <w:b w:val="0"/>
          <w:sz w:val="30"/>
        </w:rPr>
        <w:t>我今天只讲三个问题。</w:t>
      </w:r>
    </w:p>
    <w:p>
      <w:r>
        <w:rPr>
          <w:rFonts w:ascii="仿宋" w:hAnsi="仿宋" w:eastAsia="仿宋"/>
          <w:b w:val="0"/>
          <w:sz w:val="30"/>
        </w:rPr>
        <w:t>第一，面积。</w:t>
      </w:r>
    </w:p>
    <w:p>
      <w:r>
        <w:rPr>
          <w:rFonts w:ascii="仿宋" w:hAnsi="仿宋" w:eastAsia="仿宋"/>
          <w:b w:val="0"/>
          <w:sz w:val="30"/>
        </w:rPr>
        <w:t>原判写山语城三期总建筑面积是30060.52平方米。补正裁定改成329304.21平方米。请注意，是从约3.01万平方米改成32.93万平方米，不是从A区合同的9.4万平方米改成32.93万平方米。</w:t>
      </w:r>
    </w:p>
    <w:p>
      <w:r>
        <w:rPr>
          <w:rFonts w:ascii="仿宋" w:hAnsi="仿宋" w:eastAsia="仿宋"/>
          <w:b w:val="0"/>
          <w:sz w:val="30"/>
        </w:rPr>
        <w:t>这个变化不是小数点或者一般笔误。A区合同写94153.03平方米，B/C区合同写234602.58平方米，两份合计328755.61平方米。它和补正数字还差548.60平方米。差额可能有统计口径，但必须查规划、测绘和物业区域资料。</w:t>
      </w:r>
    </w:p>
    <w:p>
      <w:r>
        <w:rPr>
          <w:rFonts w:ascii="仿宋" w:hAnsi="仿宋" w:eastAsia="仿宋"/>
          <w:b w:val="0"/>
          <w:sz w:val="30"/>
        </w:rPr>
        <w:t>更重要的是，A区合同明确写乙方二级资质。当时二级资质承接住宅项目上限是30万平方米。湖南当时的规则还要求，分期开发项目要按照项目开发总面积匹配资质。我们没有说超过30万就自动无效。我们说的是：一审原来用3.01万平方米作事实基础，补正后变成32.93万平方米，就必须重新查A、B、C是不是同一分期项目，2014年到底是什么资质。这个实体审查没有做。</w:t>
      </w:r>
    </w:p>
    <w:p>
      <w:r>
        <w:rPr>
          <w:rFonts w:ascii="仿宋" w:hAnsi="仿宋" w:eastAsia="仿宋"/>
          <w:b w:val="0"/>
          <w:sz w:val="30"/>
        </w:rPr>
        <w:t>第二，赵力和第三十四条。</w:t>
      </w:r>
    </w:p>
    <w:p>
      <w:r>
        <w:rPr>
          <w:rFonts w:ascii="仿宋" w:hAnsi="仿宋" w:eastAsia="仿宋"/>
          <w:b w:val="0"/>
          <w:sz w:val="30"/>
        </w:rPr>
        <w:t>一审已经确认，A区备案表上，招标方法定代表人是赵力，中标企业负责人也是赵力；两家企业又由同一集团100%控股。</w:t>
      </w:r>
    </w:p>
    <w:p>
      <w:r>
        <w:rPr>
          <w:rFonts w:ascii="仿宋" w:hAnsi="仿宋" w:eastAsia="仿宋"/>
          <w:b w:val="0"/>
          <w:sz w:val="30"/>
        </w:rPr>
        <w:t>我们没有说同集团或者同名就当然违法。第三十四条第一款还要求利害关系可能影响招标公正性。但是原判回答这个问题时，用的是第二款关于不同投标人共同投标的规则；原判还要求我们证明已经对结果产生“实质性影响”，而第一款写的是“可能影响招标公正性”。</w:t>
      </w:r>
    </w:p>
    <w:p>
      <w:r>
        <w:rPr>
          <w:rFonts w:ascii="仿宋" w:hAnsi="仿宋" w:eastAsia="仿宋"/>
          <w:b w:val="0"/>
          <w:sz w:val="30"/>
        </w:rPr>
        <w:t>这两个标准不同。国家发改委今年的公开解释也说，关联关系本身不当然禁止投标，但存在关联线索就要重点审查是否受到特殊对待、是否可能影响公正。现在投标人名单、投标文件、评标报告、评分表都没有查，怎么能够直接认定没有影响？</w:t>
      </w:r>
    </w:p>
    <w:p>
      <w:r>
        <w:rPr>
          <w:rFonts w:ascii="仿宋" w:hAnsi="仿宋" w:eastAsia="仿宋"/>
          <w:b w:val="0"/>
          <w:sz w:val="30"/>
        </w:rPr>
        <w:t>第三，B/C合同和招投标底卷。</w:t>
      </w:r>
    </w:p>
    <w:p>
      <w:r>
        <w:rPr>
          <w:rFonts w:ascii="仿宋" w:hAnsi="仿宋" w:eastAsia="仿宋"/>
          <w:b w:val="0"/>
          <w:sz w:val="30"/>
        </w:rPr>
        <w:t>当前完整B/C区合同的签章日期是2016年8月31日。住建部门后来的书面回复却说2016年5月已经签约，还有2016年5月31日版本线索。我们没有取得5月31日完整原件，所以不会说一真一假，更不会说伪造。我们只要求对方把原件、全部附件和备案版本拿出来，说明5月、5月31日和8月31日是什么关系。</w:t>
      </w:r>
    </w:p>
    <w:p>
      <w:r>
        <w:rPr>
          <w:rFonts w:ascii="仿宋" w:hAnsi="仿宋" w:eastAsia="仿宋"/>
          <w:b w:val="0"/>
          <w:sz w:val="30"/>
        </w:rPr>
        <w:t>B/C区中标是2016年4月22日。现在能够看到的一级资质驻长证明是8月11日出具。4月22日是否已经取得一级资质，要看升级批准文件，不能用8月的证明直接代替。</w:t>
      </w:r>
    </w:p>
    <w:p>
      <w:r>
        <w:rPr>
          <w:rFonts w:ascii="仿宋" w:hAnsi="仿宋" w:eastAsia="仿宋"/>
          <w:b w:val="0"/>
          <w:sz w:val="30"/>
        </w:rPr>
        <w:t>主管机关目前未能查找到除备案表以外的其他相关招投标材料。这不等于没有招标，但备案表也不能证明谁参加了投标、怎么评分、为什么中标。招标人和投标人自己应当提交底卷。</w:t>
      </w:r>
    </w:p>
    <w:p>
      <w:r>
        <w:rPr>
          <w:rFonts w:ascii="仿宋" w:hAnsi="仿宋" w:eastAsia="仿宋"/>
          <w:b w:val="0"/>
          <w:sz w:val="30"/>
        </w:rPr>
        <w:t>所以，本案不能在这些事实没有查清以前直接维持原判。如果二审调取证据后足以认定中标或合同依法无效，请依法改判；如果分期项目、资质时间、真实合同文本和招投标底卷仍需进一步查明，请依法撤销原判，发回重审。</w:t>
      </w:r>
    </w:p>
    <w:p>
      <w:r>
        <w:rPr>
          <w:rFonts w:ascii="仿宋" w:hAnsi="仿宋" w:eastAsia="仿宋"/>
          <w:b w:val="0"/>
          <w:sz w:val="30"/>
        </w:rPr>
        <w:t>我的代理意见完毕。</w:t>
      </w:r>
    </w:p>
    <w:sectPr w:rsidR="00FC693F" w:rsidRPr="0006063C" w:rsidSect="00034616">
      <w:footerReference w:type="default" r:id="rId9"/>
      <w:pgSz w:w="11906" w:h="16838"/>
      <w:pgMar w:top="1587" w:right="158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sz w:val="21"/>
      </w:rPr>
      <w:t xml:space="preserve">第 </w:t>
    </w:r>
    <w:fldSimple w:instr="PAGE">
      <w:r>
        <w:rPr>
          <w:rFonts w:eastAsia="宋体"/>
          <w:sz w:val="21"/>
        </w:rPr>
        <w:t>1</w:t>
      </w:r>
    </w:fldSimple>
    <w:r>
      <w:rPr>
        <w:rFonts w:ascii="宋体" w:hAnsi="宋体" w:eastAsia="宋体"/>
        <w:b w:val="0"/>
        <w:sz w:val="21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  <w:ind w:firstLine="600"/>
    </w:pPr>
    <w:rPr>
      <w:rFonts w:ascii="仿宋" w:hAnsi="仿宋" w:eastAsia="仿宋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360" w:lineRule="auto"/>
      <w:outlineLvl w:val="0"/>
    </w:pPr>
    <w:rPr>
      <w:rFonts w:asciiTheme="majorHAnsi" w:eastAsiaTheme="majorEastAsia" w:hAnsiTheme="majorHAnsi" w:cstheme="majorBidi" w:ascii="仿宋" w:hAnsi="仿宋" w:eastAsia="仿宋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360" w:lineRule="auto"/>
      <w:outlineLvl w:val="1"/>
    </w:pPr>
    <w:rPr>
      <w:rFonts w:asciiTheme="majorHAnsi" w:eastAsiaTheme="majorEastAsia" w:hAnsiTheme="majorHAnsi" w:cstheme="majorBidi" w:ascii="仿宋" w:hAnsi="仿宋" w:eastAsia="仿宋"/>
      <w:b/>
      <w:bCs/>
      <w:color w:val="4F81BD" w:themeColor="accent1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0" w:line="360" w:lineRule="auto"/>
      <w:outlineLvl w:val="2"/>
    </w:pPr>
    <w:rPr>
      <w:rFonts w:asciiTheme="majorHAnsi" w:eastAsiaTheme="majorEastAsia" w:hAnsiTheme="majorHAnsi" w:cstheme="majorBidi" w:ascii="仿宋" w:hAnsi="仿宋" w:eastAsia="仿宋"/>
      <w:b/>
      <w:bCs/>
      <w:color w:val="4F81BD" w:themeColor="accent1"/>
      <w:sz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360" w:lineRule="auto" w:before="0"/>
      <w:contextualSpacing/>
    </w:pPr>
    <w:rPr>
      <w:rFonts w:asciiTheme="majorHAnsi" w:eastAsiaTheme="majorEastAsia" w:hAnsiTheme="majorHAnsi" w:cstheme="majorBidi" w:ascii="仿宋" w:hAnsi="仿宋" w:eastAsia="仿宋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李国平前期物业合同无效案二审材料</dc:subject>
  <dc:creator>李国平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