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ind w:firstLine="0"/>
        <w:jc w:val="center"/>
      </w:pPr>
      <w:r>
        <w:rPr>
          <w:rFonts w:ascii="宋体" w:hAnsi="宋体" w:eastAsia="宋体"/>
          <w:b/>
          <w:sz w:val="44"/>
        </w:rPr>
        <w:t>二审法官可能提问及回答提纲</w:t>
      </w:r>
    </w:p>
    <w:p>
      <w:pPr>
        <w:ind w:firstLine="0"/>
      </w:pPr>
      <w:r>
        <w:rPr>
          <w:rFonts w:ascii="仿宋" w:hAnsi="仿宋" w:eastAsia="仿宋"/>
          <w:b w:val="0"/>
          <w:sz w:val="30"/>
        </w:rPr>
        <w:t>二审案号：二审案号以受理通知书为准</w:t>
      </w:r>
    </w:p>
    <w:p>
      <w:pPr>
        <w:ind w:firstLine="0"/>
      </w:pPr>
      <w:r>
        <w:rPr>
          <w:rFonts w:ascii="仿宋" w:hAnsi="仿宋" w:eastAsia="仿宋"/>
          <w:b w:val="0"/>
          <w:sz w:val="30"/>
        </w:rPr>
        <w:t>一审案号：（2025）湘0105民初27046号</w:t>
      </w:r>
    </w:p>
    <w:p>
      <w:pPr>
        <w:ind w:firstLine="0"/>
        <w:jc w:val="right"/>
      </w:pPr>
      <w:r>
        <w:rPr>
          <w:rFonts w:ascii="仿宋" w:hAnsi="仿宋" w:eastAsia="仿宋"/>
          <w:b w:val="0"/>
          <w:sz w:val="30"/>
        </w:rPr>
        <w:t>上诉人：李国平</w:t>
      </w:r>
    </w:p>
    <w:p>
      <w:pPr>
        <w:ind w:firstLine="0"/>
      </w:pPr>
      <w:r>
        <w:rPr>
          <w:rFonts w:ascii="仿宋" w:hAnsi="仿宋" w:eastAsia="仿宋"/>
          <w:b w:val="0"/>
          <w:sz w:val="30"/>
        </w:rPr>
        <w:t>被上诉人一：中铁建物业管理有限公司长沙分公司</w:t>
      </w:r>
    </w:p>
    <w:p>
      <w:pPr>
        <w:ind w:firstLine="0"/>
      </w:pPr>
      <w:r>
        <w:rPr>
          <w:rFonts w:ascii="仿宋" w:hAnsi="仿宋" w:eastAsia="仿宋"/>
          <w:b w:val="0"/>
          <w:sz w:val="30"/>
        </w:rPr>
        <w:t>被上诉人二：中铁房地产集团长沙置业有限公司</w:t>
      </w:r>
    </w:p>
    <w:p>
      <w:pPr>
        <w:pStyle w:val="Heading2"/>
        <w:ind w:firstLine="0"/>
      </w:pPr>
      <w:r>
        <w:rPr>
          <w:rFonts w:ascii="仿宋" w:hAnsi="仿宋" w:eastAsia="仿宋"/>
          <w:b w:val="0"/>
          <w:sz w:val="30"/>
        </w:rPr>
        <w:t>1. 问：即使二级资质超过30万平方米，为什么合同就无效？</w:t>
      </w:r>
    </w:p>
    <w:p>
      <w:r>
        <w:rPr>
          <w:rFonts w:ascii="仿宋" w:hAnsi="仿宋" w:eastAsia="仿宋"/>
          <w:b w:val="0"/>
          <w:sz w:val="30"/>
        </w:rPr>
        <w:t>答：我们不主张超过面积就当然无效。先要查明是否同一分期项目、2014年是否确为二级资质，再判断违反的是何层级规范、是否影响中标以及是否触及合同效力。原判的问题是没有查清就直接排除影响。</w:t>
      </w:r>
    </w:p>
    <w:p>
      <w:pPr>
        <w:pStyle w:val="Heading2"/>
        <w:ind w:firstLine="0"/>
      </w:pPr>
      <w:r>
        <w:rPr>
          <w:rFonts w:ascii="仿宋" w:hAnsi="仿宋" w:eastAsia="仿宋"/>
          <w:b w:val="0"/>
          <w:sz w:val="30"/>
        </w:rPr>
        <w:t>2. 问：第34条适用于前期物业招标吗？</w:t>
      </w:r>
    </w:p>
    <w:p>
      <w:r>
        <w:rPr>
          <w:rFonts w:ascii="仿宋" w:hAnsi="仿宋" w:eastAsia="仿宋"/>
          <w:b w:val="0"/>
          <w:sz w:val="30"/>
        </w:rPr>
        <w:t>答：住宅前期物业依法采取招投标方式时，同样应遵守公平原则和《实施条例》第34条。即使法院对其适用范围有不同理解，也必须依《物业管理条例》和前期物业招投标办法审查招标人与投标人的利害关系和竞争真实性。</w:t>
      </w:r>
    </w:p>
    <w:p>
      <w:pPr>
        <w:pStyle w:val="Heading2"/>
        <w:ind w:firstLine="0"/>
      </w:pPr>
      <w:r>
        <w:rPr>
          <w:rFonts w:ascii="仿宋" w:hAnsi="仿宋" w:eastAsia="仿宋"/>
          <w:b w:val="0"/>
          <w:sz w:val="30"/>
        </w:rPr>
        <w:t>3. 问：同集团公司为什么不能投标？</w:t>
      </w:r>
    </w:p>
    <w:p>
      <w:r>
        <w:rPr>
          <w:rFonts w:ascii="仿宋" w:hAnsi="仿宋" w:eastAsia="仿宋"/>
          <w:b w:val="0"/>
          <w:sz w:val="30"/>
        </w:rPr>
        <w:t>答：同集团不等于当然不能投标。第34条第一款还要求可能影响公正性。这里除共同股东外，还有招标方法定代表人与中标企业负责人同为赵力的备案记载，所以应调底卷审查，而不是在无底卷时直接说没有影响。</w:t>
      </w:r>
    </w:p>
    <w:p>
      <w:pPr>
        <w:pStyle w:val="Heading2"/>
        <w:ind w:firstLine="0"/>
      </w:pPr>
      <w:r>
        <w:rPr>
          <w:rFonts w:ascii="仿宋" w:hAnsi="仿宋" w:eastAsia="仿宋"/>
          <w:b w:val="0"/>
          <w:sz w:val="30"/>
        </w:rPr>
        <w:t>4. 问：赵力只是企业负责人，不是法定代表人，有何意义？</w:t>
      </w:r>
    </w:p>
    <w:p>
      <w:r>
        <w:rPr>
          <w:rFonts w:ascii="仿宋" w:hAnsi="仿宋" w:eastAsia="仿宋"/>
          <w:b w:val="0"/>
          <w:sz w:val="30"/>
        </w:rPr>
        <w:t>答：我们准确区分身份：招标方法定代表人赵力，中标企业负责人赵力。企业负责人是否参与投标决策、具有何权限，要由任职和授权材料说明；不能因为不是法定代表人就认为毫无关系。</w:t>
      </w:r>
    </w:p>
    <w:p>
      <w:pPr>
        <w:pStyle w:val="Heading2"/>
        <w:ind w:firstLine="0"/>
      </w:pPr>
      <w:r>
        <w:rPr>
          <w:rFonts w:ascii="仿宋" w:hAnsi="仿宋" w:eastAsia="仿宋"/>
          <w:b w:val="0"/>
          <w:sz w:val="30"/>
        </w:rPr>
        <w:t>5. 问：长期履行十多年，为什么还要确认无效？</w:t>
      </w:r>
    </w:p>
    <w:p>
      <w:r>
        <w:rPr>
          <w:rFonts w:ascii="仿宋" w:hAnsi="仿宋" w:eastAsia="仿宋"/>
          <w:b w:val="0"/>
          <w:sz w:val="30"/>
        </w:rPr>
        <w:t>答：长期履行影响法律后果和利益衡量，但不能反向证明订立时一定合法。先查清合同对象、资质和招投标，再依法判断效力；即使无效，既往服务的折价补偿也可依法处理。</w:t>
      </w:r>
    </w:p>
    <w:p>
      <w:pPr>
        <w:pStyle w:val="Heading2"/>
        <w:ind w:firstLine="0"/>
      </w:pPr>
      <w:r>
        <w:rPr>
          <w:rFonts w:ascii="仿宋" w:hAnsi="仿宋" w:eastAsia="仿宋"/>
          <w:b w:val="0"/>
          <w:sz w:val="30"/>
        </w:rPr>
        <w:t>6. 问：2017年都取消资质了，还有审查意义吗？</w:t>
      </w:r>
    </w:p>
    <w:p>
      <w:r>
        <w:rPr>
          <w:rFonts w:ascii="仿宋" w:hAnsi="仿宋" w:eastAsia="仿宋"/>
          <w:b w:val="0"/>
          <w:sz w:val="30"/>
        </w:rPr>
        <w:t>答：案涉行为发生在2014年和2016年，当时资质制度仍有效。2017、2018年的取消不能倒推历史行为合法；它只影响后续监管，不改写签约时的事实。</w:t>
      </w:r>
    </w:p>
    <w:p>
      <w:pPr>
        <w:pStyle w:val="Heading2"/>
        <w:ind w:firstLine="0"/>
      </w:pPr>
      <w:r>
        <w:rPr>
          <w:rFonts w:ascii="仿宋" w:hAnsi="仿宋" w:eastAsia="仿宋"/>
          <w:b w:val="0"/>
          <w:sz w:val="30"/>
        </w:rPr>
        <w:t>7. 问：没有完整底卷，为什么不是上诉人举证不能？</w:t>
      </w:r>
    </w:p>
    <w:p>
      <w:r>
        <w:rPr>
          <w:rFonts w:ascii="仿宋" w:hAnsi="仿宋" w:eastAsia="仿宋"/>
          <w:b w:val="0"/>
          <w:sz w:val="30"/>
        </w:rPr>
        <w:t>答：上诉人已提出备案表、赵力身份交叉和版本差异等具体线索。完整底卷由招标人、投标人和主管机关控制，普通业主无法取得；法院可以责令提交或调查，不能把内部材料缺失全部归给业主。</w:t>
      </w:r>
    </w:p>
    <w:p>
      <w:pPr>
        <w:pStyle w:val="Heading2"/>
        <w:ind w:firstLine="0"/>
      </w:pPr>
      <w:r>
        <w:rPr>
          <w:rFonts w:ascii="仿宋" w:hAnsi="仿宋" w:eastAsia="仿宋"/>
          <w:b w:val="0"/>
          <w:sz w:val="30"/>
        </w:rPr>
        <w:t>8. 问：两个合同日期不同，为什么一定影响合同效力？</w:t>
      </w:r>
    </w:p>
    <w:p>
      <w:r>
        <w:rPr>
          <w:rFonts w:ascii="仿宋" w:hAnsi="仿宋" w:eastAsia="仿宋"/>
          <w:b w:val="0"/>
          <w:sz w:val="30"/>
        </w:rPr>
        <w:t>答：日期不同不等于虚假，更不当然无效。但确认合同效力首先要确定审查对象。日期关系还关联中标后签约、资质状态和备案文本，所以必须查清。</w:t>
      </w:r>
    </w:p>
    <w:p>
      <w:pPr>
        <w:pStyle w:val="Heading2"/>
        <w:ind w:firstLine="0"/>
      </w:pPr>
      <w:r>
        <w:rPr>
          <w:rFonts w:ascii="仿宋" w:hAnsi="仿宋" w:eastAsia="仿宋"/>
          <w:b w:val="0"/>
          <w:sz w:val="30"/>
        </w:rPr>
        <w:t>9. 问：总公司和分公司是一个法人体系，有什么问题？</w:t>
      </w:r>
    </w:p>
    <w:p>
      <w:r>
        <w:rPr>
          <w:rFonts w:ascii="仿宋" w:hAnsi="仿宋" w:eastAsia="仿宋"/>
          <w:b w:val="0"/>
          <w:sz w:val="30"/>
        </w:rPr>
        <w:t>答：这能反驳‘当然非法转包’，但不能自动回答是否按中标文件签约。需核实投标文件、中标通知及授权书是否允许长沙分公司签约、备案和履行。</w:t>
      </w:r>
    </w:p>
    <w:p>
      <w:pPr>
        <w:pStyle w:val="Heading2"/>
        <w:ind w:firstLine="0"/>
      </w:pPr>
      <w:r>
        <w:rPr>
          <w:rFonts w:ascii="仿宋" w:hAnsi="仿宋" w:eastAsia="仿宋"/>
          <w:b w:val="0"/>
          <w:sz w:val="30"/>
        </w:rPr>
        <w:t>10. 问：备案表已经证明招标完成，为何还要底卷？</w:t>
      </w:r>
    </w:p>
    <w:p>
      <w:r>
        <w:rPr>
          <w:rFonts w:ascii="仿宋" w:hAnsi="仿宋" w:eastAsia="仿宋"/>
          <w:b w:val="0"/>
          <w:sz w:val="30"/>
        </w:rPr>
        <w:t>答：备案表证明备案记载，不证明投标资格、报价、评委、评分和竞争过程。尤其存在身份交叉时，公正性只能通过底卷审查。</w:t>
      </w:r>
    </w:p>
    <w:p>
      <w:pPr>
        <w:pStyle w:val="Heading2"/>
        <w:ind w:firstLine="0"/>
      </w:pPr>
      <w:r>
        <w:rPr>
          <w:rFonts w:ascii="仿宋" w:hAnsi="仿宋" w:eastAsia="仿宋"/>
          <w:b w:val="0"/>
          <w:sz w:val="30"/>
        </w:rPr>
        <w:t>11. 问：国家发改委2026年解释也说关联关系不当然禁止投标，你方为何还援引？</w:t>
      </w:r>
    </w:p>
    <w:p>
      <w:r>
        <w:rPr>
          <w:rFonts w:ascii="仿宋" w:hAnsi="仿宋" w:eastAsia="仿宋"/>
          <w:b w:val="0"/>
          <w:sz w:val="30"/>
        </w:rPr>
        <w:t>答：正因为不当然禁止，所以我们没有主张自动违法。该解释同时要求两个条件并审查是否特殊对待、是否可能影响公正；原判既未调底卷，又用了更高的‘实质影响’标准。</w:t>
      </w:r>
    </w:p>
    <w:p>
      <w:pPr>
        <w:pStyle w:val="Heading2"/>
        <w:ind w:firstLine="0"/>
      </w:pPr>
      <w:r>
        <w:rPr>
          <w:rFonts w:ascii="仿宋" w:hAnsi="仿宋" w:eastAsia="仿宋"/>
          <w:b w:val="0"/>
          <w:sz w:val="30"/>
        </w:rPr>
        <w:t>12. 问：原判只是把面积写错，补正后结论仍然可以维持吧？</w:t>
      </w:r>
    </w:p>
    <w:p>
      <w:r>
        <w:rPr>
          <w:rFonts w:ascii="仿宋" w:hAnsi="仿宋" w:eastAsia="仿宋"/>
          <w:b w:val="0"/>
          <w:sz w:val="30"/>
        </w:rPr>
        <w:t>答：如果面积与裁判无关可以补正理由，但这里从3.01万变成32.93万，直接跨过二级资质30万平方米界线，并触发分期总面积审查。必须重做事实和法律评价。</w:t>
      </w:r>
    </w:p>
    <w:p>
      <w:pPr>
        <w:pStyle w:val="Heading2"/>
        <w:ind w:firstLine="0"/>
      </w:pPr>
      <w:r>
        <w:rPr>
          <w:rFonts w:ascii="仿宋" w:hAnsi="仿宋" w:eastAsia="仿宋"/>
          <w:b w:val="0"/>
          <w:sz w:val="30"/>
        </w:rPr>
        <w:t>13. 问：合同面积合计比补正面积还少548.60平方米，是否说明你方计算不可靠？</w:t>
      </w:r>
    </w:p>
    <w:p>
      <w:r>
        <w:rPr>
          <w:rFonts w:ascii="仿宋" w:hAnsi="仿宋" w:eastAsia="仿宋"/>
          <w:b w:val="0"/>
          <w:sz w:val="30"/>
        </w:rPr>
        <w:t>答：计算本身准确。差额说明几份材料口径不同，可能是规划、物业区域或计容口径；我们的请求正是调取原始规划和测绘资料，不凭差额作虚假推断。</w:t>
      </w:r>
    </w:p>
    <w:p>
      <w:pPr>
        <w:pStyle w:val="Heading2"/>
        <w:ind w:firstLine="0"/>
      </w:pPr>
      <w:r>
        <w:rPr>
          <w:rFonts w:ascii="仿宋" w:hAnsi="仿宋" w:eastAsia="仿宋"/>
          <w:b w:val="0"/>
          <w:sz w:val="30"/>
        </w:rPr>
        <w:t>14. 问：A区和B/C区可能是两个物业管理区域，为什么合并看面积？</w:t>
      </w:r>
    </w:p>
    <w:p>
      <w:r>
        <w:rPr>
          <w:rFonts w:ascii="仿宋" w:hAnsi="仿宋" w:eastAsia="仿宋"/>
          <w:b w:val="0"/>
          <w:sz w:val="30"/>
        </w:rPr>
        <w:t>答：是否分区就是待查事实。湖南办法使用‘分期开发项目的项目开发总建筑面积’，不完全等同合同划分区域。需调立项和规划材料确定，不能只凭后来的两份合同自证。</w:t>
      </w:r>
    </w:p>
    <w:p>
      <w:pPr>
        <w:pStyle w:val="Heading2"/>
        <w:ind w:firstLine="0"/>
      </w:pPr>
      <w:r>
        <w:rPr>
          <w:rFonts w:ascii="仿宋" w:hAnsi="仿宋" w:eastAsia="仿宋"/>
          <w:b w:val="0"/>
          <w:sz w:val="30"/>
        </w:rPr>
        <w:t>15. 问：B/C区合同载明一级资质，为什么还质疑？</w:t>
      </w:r>
    </w:p>
    <w:p>
      <w:r>
        <w:rPr>
          <w:rFonts w:ascii="仿宋" w:hAnsi="仿宋" w:eastAsia="仿宋"/>
          <w:b w:val="0"/>
          <w:sz w:val="30"/>
        </w:rPr>
        <w:t>答：合同文本记载一级只能证明文字。中标日是2016年4月22日，现有驻长证明8月11日出具；需要一级资质批准和生效日期证明中标时已经具备。</w:t>
      </w:r>
    </w:p>
    <w:p>
      <w:pPr>
        <w:pStyle w:val="Heading2"/>
        <w:ind w:firstLine="0"/>
      </w:pPr>
      <w:r>
        <w:rPr>
          <w:rFonts w:ascii="仿宋" w:hAnsi="仿宋" w:eastAsia="仿宋"/>
          <w:b w:val="0"/>
          <w:sz w:val="30"/>
        </w:rPr>
        <w:t>16. 问：驻长证明写了2012年8月9日起准予服务，不就证明一直有效？</w:t>
      </w:r>
    </w:p>
    <w:p>
      <w:r>
        <w:rPr>
          <w:rFonts w:ascii="仿宋" w:hAnsi="仿宋" w:eastAsia="仿宋"/>
          <w:b w:val="0"/>
          <w:sz w:val="30"/>
        </w:rPr>
        <w:t>答：那一行是准予在长沙开展活动的沿革，不等于2012年就取得一级资质。证明还标‘续’，应调历次备案和资质升级材料分开判断。</w:t>
      </w:r>
    </w:p>
    <w:p>
      <w:pPr>
        <w:pStyle w:val="Heading2"/>
        <w:ind w:firstLine="0"/>
      </w:pPr>
      <w:r>
        <w:rPr>
          <w:rFonts w:ascii="仿宋" w:hAnsi="仿宋" w:eastAsia="仿宋"/>
          <w:b w:val="0"/>
          <w:sz w:val="30"/>
        </w:rPr>
        <w:t>17. 问：住建部门已认定总公司授权分公司，为何还要审查？</w:t>
      </w:r>
    </w:p>
    <w:p>
      <w:r>
        <w:rPr>
          <w:rFonts w:ascii="仿宋" w:hAnsi="仿宋" w:eastAsia="仿宋"/>
          <w:b w:val="0"/>
          <w:sz w:val="30"/>
        </w:rPr>
        <w:t>答：行政判决审查的是2025年备案履职，不是本案合同民事效力。其概括的‘授权’应回到授权书原件、授权时间和具体范围质证。</w:t>
      </w:r>
    </w:p>
    <w:p>
      <w:pPr>
        <w:pStyle w:val="Heading2"/>
        <w:ind w:firstLine="0"/>
      </w:pPr>
      <w:r>
        <w:rPr>
          <w:rFonts w:ascii="仿宋" w:hAnsi="仿宋" w:eastAsia="仿宋"/>
          <w:b w:val="0"/>
          <w:sz w:val="30"/>
        </w:rPr>
        <w:t>18. 问：行政裁判已经驳回李国平，本案是否受既判力约束？</w:t>
      </w:r>
    </w:p>
    <w:p>
      <w:r>
        <w:rPr>
          <w:rFonts w:ascii="仿宋" w:hAnsi="仿宋" w:eastAsia="仿宋"/>
          <w:b w:val="0"/>
          <w:sz w:val="30"/>
        </w:rPr>
        <w:t>答：992和102主要是复议范围、起诉条件处理，374审查行政备案履职。诉讼标的、当事人和裁判事项不同，均未直接确认2014、2016合同民事有效。</w:t>
      </w:r>
    </w:p>
    <w:p>
      <w:pPr>
        <w:pStyle w:val="Heading2"/>
        <w:ind w:firstLine="0"/>
      </w:pPr>
      <w:r>
        <w:rPr>
          <w:rFonts w:ascii="仿宋" w:hAnsi="仿宋" w:eastAsia="仿宋"/>
          <w:b w:val="0"/>
          <w:sz w:val="30"/>
        </w:rPr>
        <w:t>19. 问：物业管理条例允许邀请招标，有何违法？</w:t>
      </w:r>
    </w:p>
    <w:p>
      <w:r>
        <w:rPr>
          <w:rFonts w:ascii="仿宋" w:hAnsi="仿宋" w:eastAsia="仿宋"/>
          <w:b w:val="0"/>
          <w:sz w:val="30"/>
        </w:rPr>
        <w:t>答：邀请招标本身合法。争点是受邀投标人、资质、评标和关联关系是否真实公正。没有底卷，不能只凭‘邀请招标’四个字得出程序完整。</w:t>
      </w:r>
    </w:p>
    <w:p>
      <w:pPr>
        <w:pStyle w:val="Heading2"/>
        <w:ind w:firstLine="0"/>
      </w:pPr>
      <w:r>
        <w:rPr>
          <w:rFonts w:ascii="仿宋" w:hAnsi="仿宋" w:eastAsia="仿宋"/>
          <w:b w:val="0"/>
          <w:sz w:val="30"/>
        </w:rPr>
        <w:t>20. 问：你方是不是要求法院推定串标？</w:t>
      </w:r>
    </w:p>
    <w:p>
      <w:r>
        <w:rPr>
          <w:rFonts w:ascii="仿宋" w:hAnsi="仿宋" w:eastAsia="仿宋"/>
          <w:b w:val="0"/>
          <w:sz w:val="30"/>
        </w:rPr>
        <w:t>答：不是。我们明确不主张串标已经成立，只请求对具体关联线索调取证据并按‘可能影响公正性’审查。查明后由法院依法判断。</w:t>
      </w:r>
    </w:p>
    <w:p>
      <w:pPr>
        <w:pStyle w:val="Heading2"/>
        <w:ind w:firstLine="0"/>
      </w:pPr>
      <w:r>
        <w:rPr>
          <w:rFonts w:ascii="仿宋" w:hAnsi="仿宋" w:eastAsia="仿宋"/>
          <w:b w:val="0"/>
          <w:sz w:val="30"/>
        </w:rPr>
        <w:t>21. 问：地方规章、部门规章不能直接导致合同无效，如何回应？</w:t>
      </w:r>
    </w:p>
    <w:p>
      <w:r>
        <w:rPr>
          <w:rFonts w:ascii="仿宋" w:hAnsi="仿宋" w:eastAsia="仿宋"/>
          <w:b w:val="0"/>
          <w:sz w:val="30"/>
        </w:rPr>
        <w:t>答：我们同意不能机械作无效推论。它们用于界定当时选聘和资质事实；效力后果还需结合《物业管理条例》《招标投标法实施条例》及旧《合同法》第52条综合判断。</w:t>
      </w:r>
    </w:p>
    <w:p>
      <w:pPr>
        <w:pStyle w:val="Heading2"/>
        <w:ind w:firstLine="0"/>
      </w:pPr>
      <w:r>
        <w:rPr>
          <w:rFonts w:ascii="仿宋" w:hAnsi="仿宋" w:eastAsia="仿宋"/>
          <w:b w:val="0"/>
          <w:sz w:val="30"/>
        </w:rPr>
        <w:t>22. 问：《民法典》第939条不是确认前期合同约束业主吗？</w:t>
      </w:r>
    </w:p>
    <w:p>
      <w:r>
        <w:rPr>
          <w:rFonts w:ascii="仿宋" w:hAnsi="仿宋" w:eastAsia="仿宋"/>
          <w:b w:val="0"/>
          <w:sz w:val="30"/>
        </w:rPr>
        <w:t>答：第939条针对依法订立的前期物业合同。本案合同订立在民法典前，且争点正是是否依法选聘、订立，不能用结论反证前提。</w:t>
      </w:r>
    </w:p>
    <w:p>
      <w:pPr>
        <w:pStyle w:val="Heading2"/>
        <w:ind w:firstLine="0"/>
      </w:pPr>
      <w:r>
        <w:rPr>
          <w:rFonts w:ascii="仿宋" w:hAnsi="仿宋" w:eastAsia="仿宋"/>
          <w:b w:val="0"/>
          <w:sz w:val="30"/>
        </w:rPr>
        <w:t>23. 问：为什么说原判错误适用民法典和2023年解释？</w:t>
      </w:r>
    </w:p>
    <w:p>
      <w:r>
        <w:rPr>
          <w:rFonts w:ascii="仿宋" w:hAnsi="仿宋" w:eastAsia="仿宋"/>
          <w:b w:val="0"/>
          <w:sz w:val="30"/>
        </w:rPr>
        <w:t>答：案涉合同形成于2014、2016年。时间效力规定原则上要求适用当时法律；即使新解释可用于说理，也应说明衔接，而不是省略旧《合同法》第52条的审查。</w:t>
      </w:r>
    </w:p>
    <w:p>
      <w:pPr>
        <w:pStyle w:val="Heading2"/>
        <w:ind w:firstLine="0"/>
      </w:pPr>
      <w:r>
        <w:rPr>
          <w:rFonts w:ascii="仿宋" w:hAnsi="仿宋" w:eastAsia="仿宋"/>
          <w:b w:val="0"/>
          <w:sz w:val="30"/>
        </w:rPr>
        <w:t>24. 问：合同编通则解释第16条不是允许认定合同有效吗？</w:t>
      </w:r>
    </w:p>
    <w:p>
      <w:r>
        <w:rPr>
          <w:rFonts w:ascii="仿宋" w:hAnsi="仿宋" w:eastAsia="仿宋"/>
          <w:b w:val="0"/>
          <w:sz w:val="30"/>
        </w:rPr>
        <w:t>答：第16条要求判断规范目的、违法程度、行政责任和利益衡量。它不是先忽略事实、再以履行时间概括认定有效。程序顺序必须先查清违规事实。</w:t>
      </w:r>
    </w:p>
    <w:p>
      <w:pPr>
        <w:pStyle w:val="Heading2"/>
        <w:ind w:firstLine="0"/>
      </w:pPr>
      <w:r>
        <w:rPr>
          <w:rFonts w:ascii="仿宋" w:hAnsi="仿宋" w:eastAsia="仿宋"/>
          <w:b w:val="0"/>
          <w:sz w:val="30"/>
        </w:rPr>
        <w:t>25. 问：一审已确认两公司同一股东，这不是很常见吗？</w:t>
      </w:r>
    </w:p>
    <w:p>
      <w:r>
        <w:rPr>
          <w:rFonts w:ascii="仿宋" w:hAnsi="仿宋" w:eastAsia="仿宋"/>
          <w:b w:val="0"/>
          <w:sz w:val="30"/>
        </w:rPr>
        <w:t>答：共同股东本身常见且不自动违法。这里它与赵力身份交叉同时存在，构成需要审查的具体线索；结论要靠完整投标和评标材料。</w:t>
      </w:r>
    </w:p>
    <w:p>
      <w:pPr>
        <w:pStyle w:val="Heading2"/>
        <w:ind w:firstLine="0"/>
      </w:pPr>
      <w:r>
        <w:rPr>
          <w:rFonts w:ascii="仿宋" w:hAnsi="仿宋" w:eastAsia="仿宋"/>
          <w:b w:val="0"/>
          <w:sz w:val="30"/>
        </w:rPr>
        <w:t>26. 问：原判诉讼费处理与实体效力有何关系？</w:t>
      </w:r>
    </w:p>
    <w:p>
      <w:r>
        <w:rPr>
          <w:rFonts w:ascii="仿宋" w:hAnsi="仿宋" w:eastAsia="仿宋"/>
          <w:b w:val="0"/>
          <w:sz w:val="30"/>
        </w:rPr>
        <w:t>答：费用处理不等于确认无效。但原判既说未严格守法，就应说明违反何项规范及后果。该说理矛盾说明事实审查未完成。</w:t>
      </w:r>
    </w:p>
    <w:p>
      <w:pPr>
        <w:pStyle w:val="Heading2"/>
        <w:ind w:firstLine="0"/>
      </w:pPr>
      <w:r>
        <w:rPr>
          <w:rFonts w:ascii="仿宋" w:hAnsi="仿宋" w:eastAsia="仿宋"/>
          <w:b w:val="0"/>
          <w:sz w:val="30"/>
        </w:rPr>
        <w:t>27. 问：二审为什么不能直接补充理由维持？</w:t>
      </w:r>
    </w:p>
    <w:p>
      <w:r>
        <w:rPr>
          <w:rFonts w:ascii="仿宋" w:hAnsi="仿宋" w:eastAsia="仿宋"/>
          <w:b w:val="0"/>
          <w:sz w:val="30"/>
        </w:rPr>
        <w:t>答：民诉解释332条只适合结果正确、事实基础足够而理由有瑕疵的情形。本案面积、分期、资质时间、合同文本和底卷都可能改变结果，属于333条所称基本事实。</w:t>
      </w:r>
    </w:p>
    <w:p>
      <w:pPr>
        <w:pStyle w:val="Heading2"/>
        <w:ind w:firstLine="0"/>
      </w:pPr>
      <w:r>
        <w:rPr>
          <w:rFonts w:ascii="仿宋" w:hAnsi="仿宋" w:eastAsia="仿宋"/>
          <w:b w:val="0"/>
          <w:sz w:val="30"/>
        </w:rPr>
        <w:t>28. 问：你方到底请求改判还是发回？</w:t>
      </w:r>
    </w:p>
    <w:p>
      <w:r>
        <w:rPr>
          <w:rFonts w:ascii="仿宋" w:hAnsi="仿宋" w:eastAsia="仿宋"/>
          <w:b w:val="0"/>
          <w:sz w:val="30"/>
        </w:rPr>
        <w:t>答：主位是查明后依法改判确认无效；如果二审认为证据尚不足、需大量调查基本事实，则备位请求撤销原判发回重审。二者是民诉法177条允许的分层请求。</w:t>
      </w:r>
    </w:p>
    <w:p>
      <w:pPr>
        <w:pStyle w:val="Heading2"/>
        <w:ind w:firstLine="0"/>
      </w:pPr>
      <w:r>
        <w:rPr>
          <w:rFonts w:ascii="仿宋" w:hAnsi="仿宋" w:eastAsia="仿宋"/>
          <w:b w:val="0"/>
          <w:sz w:val="30"/>
        </w:rPr>
        <w:t>29. 问：如果发回后仍找不到底卷怎么办？</w:t>
      </w:r>
    </w:p>
    <w:p>
      <w:r>
        <w:rPr>
          <w:rFonts w:ascii="仿宋" w:hAnsi="仿宋" w:eastAsia="仿宋"/>
          <w:b w:val="0"/>
          <w:sz w:val="30"/>
        </w:rPr>
        <w:t>答：先责令处于证据控制地位的招标人、投标人提交。仍不能提交时，法院结合其保存义务、双方举证能力和已有线索评价证明责任，不能把证明困难自动转给业主。</w:t>
      </w:r>
    </w:p>
    <w:p>
      <w:pPr>
        <w:pStyle w:val="Heading2"/>
        <w:ind w:firstLine="0"/>
      </w:pPr>
      <w:r>
        <w:rPr>
          <w:rFonts w:ascii="仿宋" w:hAnsi="仿宋" w:eastAsia="仿宋"/>
          <w:b w:val="0"/>
          <w:sz w:val="30"/>
        </w:rPr>
        <w:t>30. 问：确认无效会不会造成小区服务真空？</w:t>
      </w:r>
    </w:p>
    <w:p>
      <w:r>
        <w:rPr>
          <w:rFonts w:ascii="仿宋" w:hAnsi="仿宋" w:eastAsia="仿宋"/>
          <w:b w:val="0"/>
          <w:sz w:val="30"/>
        </w:rPr>
        <w:t>答：本案判断历史合同效力不等于允许立即停止基本服务。服务衔接、既往费用和合理补偿可依法律另行处理，不能以管理便利替代对合同是否合法的审查。</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李国平前期物业合同无效案二审材料</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