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二审证据目录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二审案号：二审案号以受理通知书为准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一审案号：（2025）湘0105民初27046号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上诉人：李国平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被上诉人一：中铁建物业管理有限公司长沙分公司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被上诉人二：中铁房地产集团长沙置业有限公司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说明：本目录按当前本地案卷盘点制作。“补正裁定”原件、“2016年5月31日B/C区合同”完整文本及政府信息公开答复原件尚待补入；不得把线索列成已经提交的证据。页码以各PDF自然页或扫描页为准，正式装订后应再填写统一证据册页码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231"/>
        <w:gridCol w:w="1231"/>
        <w:gridCol w:w="1231"/>
        <w:gridCol w:w="1231"/>
        <w:gridCol w:w="1231"/>
        <w:gridCol w:w="1231"/>
        <w:gridCol w:w="1231"/>
      </w:tblGrid>
      <w:tr>
        <w:tc>
          <w:tcPr>
            <w:tcW w:type="dxa" w:w="1231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组别/编号</w:t>
            </w:r>
          </w:p>
        </w:tc>
        <w:tc>
          <w:tcPr>
            <w:tcW w:type="dxa" w:w="1231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证据名称</w:t>
            </w:r>
          </w:p>
        </w:tc>
        <w:tc>
          <w:tcPr>
            <w:tcW w:type="dxa" w:w="1231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来源及当前形态</w:t>
            </w:r>
          </w:p>
        </w:tc>
        <w:tc>
          <w:tcPr>
            <w:tcW w:type="dxa" w:w="1231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关键页</w:t>
            </w:r>
          </w:p>
        </w:tc>
        <w:tc>
          <w:tcPr>
            <w:tcW w:type="dxa" w:w="1231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证明目的</w:t>
            </w:r>
          </w:p>
        </w:tc>
        <w:tc>
          <w:tcPr>
            <w:tcW w:type="dxa" w:w="1231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原件情况</w:t>
            </w:r>
          </w:p>
        </w:tc>
        <w:tc>
          <w:tcPr>
            <w:tcW w:type="dxa" w:w="1231"/>
            <w:vAlign w:val="center"/>
            <w:shd w:fill="D9EAF2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/>
                <w:sz w:val="21"/>
              </w:rPr>
              <w:t>二审补充情况及一审未提交原因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A1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（2025）湘0105民初27046号民事判决书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一审法院裁判文书扫描件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第9—14页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原判面积、A区备案主体、赵力身份交叉、共同股东、原判第34条说理、资质及诉讼费说理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法院卷宗有正本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原一审裁判文书，非二审新证据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A2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民事补正裁定书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一审法院；当前目录未定位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【待核】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30060.52㎡补正为329304.21㎡；将“A区业主”补正为小区业主，并删除特定赵力变更事实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【待补原件/盖章复制件】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一审判决后形成；直接引发新的面积与资质审查必要性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A3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一审庭审笔录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一审卷宗扫描件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第3页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法庭要求二被上诉人庭后说明赵力身份；当庭答复不清楚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法院卷宗有原件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用于申请调取庭后说明及质证记录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B1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山语城三期项目规划、总平面图及分期材料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【待法院调取】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—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A/B/C是否同一分期项目；329304.21㎡来源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未取得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补正裁定后证明必要性增强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C1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A区前期物业服务合同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二被上诉人形成；完整扫描件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合同首页、面积页、签章页（PDF第26页以后；签章页2014-06-16）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A区面积94153.03㎡、二级资质记载、签约主体和日期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应由二被上诉人提交原件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原件由对方控制；二审核验内容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C2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2014年资质证书及升级档案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【待法院调取】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—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2014年A区招标、签约时真实资质等级和有效期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未取得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普通业主无法取得审批底档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D1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A区《长沙市前期物业管理招投标备案表》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住建部门材料扫描件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备案表页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招标人、招标方法定代表人赵力、中标企业、中标企业负责人赵力、项目负责人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申请核验原件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已提交线索，二审需结合底卷审查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D2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两家公司股东登记资料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市场监管材料截图/扫描件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股东页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招标人与中标企业均由中国铁建房地产集团有限公司100%控股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申请核验登记档案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一审已认定，作为审查第三十四条第一款的基础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E1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B/C区前期物业服务合同（2016-08-31）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完整扫描件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合同首页、面积页、签章页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面积234602.58㎡、一级资质记载、长沙分公司签约、8月31日签章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应由二被上诉人提交原件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与住建部门2016年5月签约说明冲突，二审需核原件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E2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B/C区2016-05-31合同文本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关联行政材料中的版本线索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【未取得完整原件】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证明合同版本和真实签订时间待查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未取得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请求法院向对方和行政卷宗调取，不作为已取得证据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E3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住建部门关于2016年5月签约的书面回复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行政案件证据扫描件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PDF第40—41页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证明主管部门曾称2016年5月签约，与8月31日文本需解释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行政卷宗可核验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关联行政程序中取得，二审补充提交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F1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B/C区中标通知书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住建/被上诉人材料扫描件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中标通知页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2016-04-22中标、住宅2.2元/㎡·月、中标主体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申请核验原件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用于锁定资质审查关键日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F2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外地驻长物业服务企业资质备案证明（续）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住建材料扫描件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证明页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2016-08-11出具；记载2012-08-09准予在长服务和一级资质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申请核验原件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只能证明出证时记载，不能证明4月22日资质状态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F3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一级资质批准决定、证书及升级档案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【待法院调取】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—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一级资质批准、生效具体时间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未取得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行政审批档案非个人能够取得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G1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政府信息公开答复及交付材料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主管部门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【原件待补】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主管机关目前仅找到备案表，其他招投标资料目前未找到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当前仅有既往目录和陈述线索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一审后/关联程序取得；应补正式答复全文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G2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A/B/C完整招投标底卷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【待法院调取】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—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投标资格、受邀投标人、报价、评委、评分及公正性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未取得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由二被上诉人及主管机关控制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H1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总公司对长沙分公司的项目授权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【待二被上诉人提交】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—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中标、签约、备案、履约主体衔接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未取得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对方控制；行政裁判概括不能替代授权原件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I1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（2026）湘8601行初374号行政判决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长沙铁路运输法院裁判文书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第10—13页等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2025备案、2016中标及驻长证明的行政案卷线索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裁判文书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一审后形成；仅作线索和程序判断，不证明民事合同有效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I2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长府复驳字〔2025〕992号决定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长沙市人民政府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决定书事实、理由页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主管部门回复及行政复议处理范围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原件/盖章件待核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不能替代民事实体审查</w:t>
            </w:r>
          </w:p>
        </w:tc>
      </w:tr>
      <w:tr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I3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（2026）湘01行初102号行政裁定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长沙中院裁判文书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第6—8页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行政起诉条件和复议范围的程序处理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裁判文书</w:t>
            </w:r>
          </w:p>
        </w:tc>
        <w:tc>
          <w:tcPr>
            <w:tcW w:type="dxa" w:w="1231"/>
            <w:vAlign w:val="center"/>
          </w:tcPr>
          <w:p>
            <w:pPr>
              <w:spacing w:line="240" w:lineRule="auto"/>
              <w:ind w:firstLine="0"/>
            </w:pPr>
            <w:r>
              <w:rPr>
                <w:rFonts w:ascii="宋体" w:hAnsi="宋体" w:eastAsia="宋体"/>
                <w:b w:val="0"/>
                <w:sz w:val="21"/>
              </w:rPr>
              <w:t>不证明招投标已实体合法</w:t>
            </w:r>
          </w:p>
        </w:tc>
      </w:tr>
    </w:tbl>
    <w:p/>
    <w:p>
      <w:r>
        <w:rPr>
          <w:rFonts w:ascii="仿宋" w:hAnsi="仿宋" w:eastAsia="仿宋"/>
          <w:b w:val="0"/>
          <w:sz w:val="30"/>
        </w:rPr>
        <w:t>提交人：李国平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2026年9月　日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