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  <w:ind w:firstLine="0"/>
        <w:jc w:val="center"/>
      </w:pPr>
      <w:r>
        <w:rPr>
          <w:rFonts w:ascii="宋体" w:hAnsi="宋体" w:eastAsia="宋体"/>
          <w:b/>
          <w:sz w:val="44"/>
        </w:rPr>
        <w:t>反方压力测试报告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说明：每版均从物业公司、开发商、倾向维持原判的法官三个角度提出各五项最强反驳。</w:t>
      </w:r>
    </w:p>
    <w:p>
      <w:pPr>
        <w:pStyle w:val="Heading2"/>
        <w:ind w:firstLine="0"/>
      </w:pPr>
      <w:r>
        <w:rPr>
          <w:rFonts w:ascii="仿宋" w:hAnsi="仿宋" w:eastAsia="仿宋"/>
          <w:b w:val="0"/>
          <w:sz w:val="30"/>
        </w:rPr>
        <w:t>Baseline基准版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1. </w:t>
      </w:r>
      <w:r>
        <w:rPr>
          <w:rFonts w:ascii="仿宋" w:hAnsi="仿宋" w:eastAsia="仿宋"/>
          <w:b/>
          <w:sz w:val="30"/>
        </w:rPr>
        <w:t>物业公司反驳：</w:t>
      </w:r>
      <w:r>
        <w:rPr>
          <w:rFonts w:ascii="仿宋" w:hAnsi="仿宋" w:eastAsia="仿宋"/>
          <w:b w:val="0"/>
          <w:sz w:val="30"/>
        </w:rPr>
        <w:t>合同已履行十余年，业主已接受服务，确认无效破坏交易稳定。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区分订立效力与履行后果；承认既往服务可依法折价，不让长期履行替代事实审查。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2. </w:t>
      </w:r>
      <w:r>
        <w:rPr>
          <w:rFonts w:ascii="仿宋" w:hAnsi="仿宋" w:eastAsia="仿宋"/>
          <w:b/>
          <w:sz w:val="30"/>
        </w:rPr>
        <w:t>物业公司反驳：</w:t>
      </w:r>
      <w:r>
        <w:rPr>
          <w:rFonts w:ascii="仿宋" w:hAnsi="仿宋" w:eastAsia="仿宋"/>
          <w:b w:val="0"/>
          <w:sz w:val="30"/>
        </w:rPr>
        <w:t>分公司是总公司的分支机构，当然可以签约履约。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承认责任归属关系，但要求核对具体中标文件和授权范围。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3. </w:t>
      </w:r>
      <w:r>
        <w:rPr>
          <w:rFonts w:ascii="仿宋" w:hAnsi="仿宋" w:eastAsia="仿宋"/>
          <w:b/>
          <w:sz w:val="30"/>
        </w:rPr>
        <w:t>物业公司反驳：</w:t>
      </w:r>
      <w:r>
        <w:rPr>
          <w:rFonts w:ascii="仿宋" w:hAnsi="仿宋" w:eastAsia="仿宋"/>
          <w:b w:val="0"/>
          <w:sz w:val="30"/>
        </w:rPr>
        <w:t>B/C合同已经写明一级资质。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要求一级资质批准、生效日期对齐2016-04-22中标日。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4. </w:t>
      </w:r>
      <w:r>
        <w:rPr>
          <w:rFonts w:ascii="仿宋" w:hAnsi="仿宋" w:eastAsia="仿宋"/>
          <w:b/>
          <w:sz w:val="30"/>
        </w:rPr>
        <w:t>物业公司反驳：</w:t>
      </w:r>
      <w:r>
        <w:rPr>
          <w:rFonts w:ascii="仿宋" w:hAnsi="仿宋" w:eastAsia="仿宋"/>
          <w:b w:val="0"/>
          <w:sz w:val="30"/>
        </w:rPr>
        <w:t>不同日期只是行政机关或合同笔误。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不排除笔误，但要求以原件、归档和备案记录证明。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5. </w:t>
      </w:r>
      <w:r>
        <w:rPr>
          <w:rFonts w:ascii="仿宋" w:hAnsi="仿宋" w:eastAsia="仿宋"/>
          <w:b/>
          <w:sz w:val="30"/>
        </w:rPr>
        <w:t>物业公司反驳：</w:t>
      </w:r>
      <w:r>
        <w:rPr>
          <w:rFonts w:ascii="仿宋" w:hAnsi="仿宋" w:eastAsia="仿宋"/>
          <w:b w:val="0"/>
          <w:sz w:val="30"/>
        </w:rPr>
        <w:t>上诉人无权代表全体业主推翻合同。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一审已确认诉讼主体资格；合同效力对其权利有直接影响。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6. </w:t>
      </w:r>
      <w:r>
        <w:rPr>
          <w:rFonts w:ascii="仿宋" w:hAnsi="仿宋" w:eastAsia="仿宋"/>
          <w:b/>
          <w:sz w:val="30"/>
        </w:rPr>
        <w:t>开发商反驳：</w:t>
      </w:r>
      <w:r>
        <w:rPr>
          <w:rFonts w:ascii="仿宋" w:hAnsi="仿宋" w:eastAsia="仿宋"/>
          <w:b w:val="0"/>
          <w:sz w:val="30"/>
        </w:rPr>
        <w:t>邀请招标合法，备案表已经证明完成招标。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邀请方式不违法，但备案表不能证明投标、评标具体过程。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7. </w:t>
      </w:r>
      <w:r>
        <w:rPr>
          <w:rFonts w:ascii="仿宋" w:hAnsi="仿宋" w:eastAsia="仿宋"/>
          <w:b/>
          <w:sz w:val="30"/>
        </w:rPr>
        <w:t>开发商反驳：</w:t>
      </w:r>
      <w:r>
        <w:rPr>
          <w:rFonts w:ascii="仿宋" w:hAnsi="仿宋" w:eastAsia="仿宋"/>
          <w:b w:val="0"/>
          <w:sz w:val="30"/>
        </w:rPr>
        <w:t>同一集团投标是正常商业安排。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不作自动违法推论；结合赵力身份交叉审查是否可能影响公正。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8. </w:t>
      </w:r>
      <w:r>
        <w:rPr>
          <w:rFonts w:ascii="仿宋" w:hAnsi="仿宋" w:eastAsia="仿宋"/>
          <w:b/>
          <w:sz w:val="30"/>
        </w:rPr>
        <w:t>开发商反驳：</w:t>
      </w:r>
      <w:r>
        <w:rPr>
          <w:rFonts w:ascii="仿宋" w:hAnsi="仿宋" w:eastAsia="仿宋"/>
          <w:b w:val="0"/>
          <w:sz w:val="30"/>
        </w:rPr>
        <w:t>A/B/C是不同物业区域，资质面积不能相加。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要求以立项规划判断是否同一分期项目；地方规则关注项目开发总面积。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9. </w:t>
      </w:r>
      <w:r>
        <w:rPr>
          <w:rFonts w:ascii="仿宋" w:hAnsi="仿宋" w:eastAsia="仿宋"/>
          <w:b/>
          <w:sz w:val="30"/>
        </w:rPr>
        <w:t>开发商反驳：</w:t>
      </w:r>
      <w:r>
        <w:rPr>
          <w:rFonts w:ascii="仿宋" w:hAnsi="仿宋" w:eastAsia="仿宋"/>
          <w:b w:val="0"/>
          <w:sz w:val="30"/>
        </w:rPr>
        <w:t>招投标材料年代久远，找不到不能归责企业。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历史原因可解释缺失，但影响证明力；先查企业和机关是否有法定/惯常留存资料。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10. </w:t>
      </w:r>
      <w:r>
        <w:rPr>
          <w:rFonts w:ascii="仿宋" w:hAnsi="仿宋" w:eastAsia="仿宋"/>
          <w:b/>
          <w:sz w:val="30"/>
        </w:rPr>
        <w:t>开发商反驳：</w:t>
      </w:r>
      <w:r>
        <w:rPr>
          <w:rFonts w:ascii="仿宋" w:hAnsi="仿宋" w:eastAsia="仿宋"/>
          <w:b w:val="0"/>
          <w:sz w:val="30"/>
        </w:rPr>
        <w:t>地方规章和部门规章不能导致合同无效。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明确同意不当然无效；用其查事实，再结合行政法规和旧合同法判断后果。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11. </w:t>
      </w:r>
      <w:r>
        <w:rPr>
          <w:rFonts w:ascii="仿宋" w:hAnsi="仿宋" w:eastAsia="仿宋"/>
          <w:b/>
          <w:sz w:val="30"/>
        </w:rPr>
        <w:t>维持倾向法官反驳：</w:t>
      </w:r>
      <w:r>
        <w:rPr>
          <w:rFonts w:ascii="仿宋" w:hAnsi="仿宋" w:eastAsia="仿宋"/>
          <w:b w:val="0"/>
          <w:sz w:val="30"/>
        </w:rPr>
        <w:t>补正裁定只是笔误，二审可直接补充理由维持。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面积跨越30万界线且关联分期资质，属于可能改变结果的基本事实，不是纯理由瑕疵。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12. </w:t>
      </w:r>
      <w:r>
        <w:rPr>
          <w:rFonts w:ascii="仿宋" w:hAnsi="仿宋" w:eastAsia="仿宋"/>
          <w:b/>
          <w:sz w:val="30"/>
        </w:rPr>
        <w:t>维持倾向法官反驳：</w:t>
      </w:r>
      <w:r>
        <w:rPr>
          <w:rFonts w:ascii="仿宋" w:hAnsi="仿宋" w:eastAsia="仿宋"/>
          <w:b w:val="0"/>
          <w:sz w:val="30"/>
        </w:rPr>
        <w:t>第34条第一款要求两个条件，上诉人只证明了关联。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正因此请求调底卷，不请求仅凭关联认定无效；原判不能用未调取证据造成的缺口维持。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13. </w:t>
      </w:r>
      <w:r>
        <w:rPr>
          <w:rFonts w:ascii="仿宋" w:hAnsi="仿宋" w:eastAsia="仿宋"/>
          <w:b/>
          <w:sz w:val="30"/>
        </w:rPr>
        <w:t>维持倾向法官反驳：</w:t>
      </w:r>
      <w:r>
        <w:rPr>
          <w:rFonts w:ascii="仿宋" w:hAnsi="仿宋" w:eastAsia="仿宋"/>
          <w:b w:val="0"/>
          <w:sz w:val="30"/>
        </w:rPr>
        <w:t>行政判决已经认可总分公司安排。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行政案审查备案履职和程序条件，不直接裁判本案合同效力；授权原件仍需质证。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14. </w:t>
      </w:r>
      <w:r>
        <w:rPr>
          <w:rFonts w:ascii="仿宋" w:hAnsi="仿宋" w:eastAsia="仿宋"/>
          <w:b/>
          <w:sz w:val="30"/>
        </w:rPr>
        <w:t>维持倾向法官反驳：</w:t>
      </w:r>
      <w:r>
        <w:rPr>
          <w:rFonts w:ascii="仿宋" w:hAnsi="仿宋" w:eastAsia="仿宋"/>
          <w:b w:val="0"/>
          <w:sz w:val="30"/>
        </w:rPr>
        <w:t>即使有程序瑕疵，合同编通则解释第16条仍可认定有效。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第16条须先查清违规对象、程度、规范目的和替代责任；不能在事实未清时直接跳到结果。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15. </w:t>
      </w:r>
      <w:r>
        <w:rPr>
          <w:rFonts w:ascii="仿宋" w:hAnsi="仿宋" w:eastAsia="仿宋"/>
          <w:b/>
          <w:sz w:val="30"/>
        </w:rPr>
        <w:t>维持倾向法官反驳：</w:t>
      </w:r>
      <w:r>
        <w:rPr>
          <w:rFonts w:ascii="仿宋" w:hAnsi="仿宋" w:eastAsia="仿宋"/>
          <w:b w:val="0"/>
          <w:sz w:val="30"/>
        </w:rPr>
        <w:t>二审可自行查明，不必发回。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上诉人接受二审查明后改判；只有大量基本事实仍需调查、质证时才请求备位发回。</w:t>
      </w:r>
    </w:p>
    <w:p>
      <w:r>
        <w:rPr>
          <w:rFonts w:ascii="仿宋" w:hAnsi="仿宋" w:eastAsia="仿宋"/>
          <w:b/>
          <w:sz w:val="30"/>
        </w:rPr>
        <w:t>压力测试结论：</w:t>
      </w:r>
      <w:r>
        <w:rPr>
          <w:rFonts w:ascii="仿宋" w:hAnsi="仿宋" w:eastAsia="仿宋"/>
          <w:b w:val="0"/>
          <w:sz w:val="30"/>
        </w:rPr>
        <w:t>应对一般，结构仍像上诉状，对补正裁定原件缺失和第一款双条件自我限制不足。</w:t>
      </w:r>
    </w:p>
    <w:p>
      <w:pPr>
        <w:pStyle w:val="Heading2"/>
        <w:ind w:firstLine="0"/>
      </w:pPr>
      <w:r>
        <w:rPr>
          <w:rFonts w:ascii="仿宋" w:hAnsi="仿宋" w:eastAsia="仿宋"/>
          <w:b w:val="0"/>
          <w:sz w:val="30"/>
        </w:rPr>
        <w:t>A版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1. </w:t>
      </w:r>
      <w:r>
        <w:rPr>
          <w:rFonts w:ascii="仿宋" w:hAnsi="仿宋" w:eastAsia="仿宋"/>
          <w:b/>
          <w:sz w:val="30"/>
        </w:rPr>
        <w:t>物业公司反驳：</w:t>
      </w:r>
      <w:r>
        <w:rPr>
          <w:rFonts w:ascii="仿宋" w:hAnsi="仿宋" w:eastAsia="仿宋"/>
          <w:b w:val="0"/>
          <w:sz w:val="30"/>
        </w:rPr>
        <w:t>合同已履行十余年，业主已接受服务，确认无效破坏交易稳定。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区分订立效力与履行后果；承认既往服务可依法折价，不让长期履行替代事实审查。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2. </w:t>
      </w:r>
      <w:r>
        <w:rPr>
          <w:rFonts w:ascii="仿宋" w:hAnsi="仿宋" w:eastAsia="仿宋"/>
          <w:b/>
          <w:sz w:val="30"/>
        </w:rPr>
        <w:t>物业公司反驳：</w:t>
      </w:r>
      <w:r>
        <w:rPr>
          <w:rFonts w:ascii="仿宋" w:hAnsi="仿宋" w:eastAsia="仿宋"/>
          <w:b w:val="0"/>
          <w:sz w:val="30"/>
        </w:rPr>
        <w:t>分公司是总公司的分支机构，当然可以签约履约。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承认责任归属关系，但要求核对具体中标文件和授权范围。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3. </w:t>
      </w:r>
      <w:r>
        <w:rPr>
          <w:rFonts w:ascii="仿宋" w:hAnsi="仿宋" w:eastAsia="仿宋"/>
          <w:b/>
          <w:sz w:val="30"/>
        </w:rPr>
        <w:t>物业公司反驳：</w:t>
      </w:r>
      <w:r>
        <w:rPr>
          <w:rFonts w:ascii="仿宋" w:hAnsi="仿宋" w:eastAsia="仿宋"/>
          <w:b w:val="0"/>
          <w:sz w:val="30"/>
        </w:rPr>
        <w:t>B/C合同已经写明一级资质。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要求一级资质批准、生效日期对齐2016-04-22中标日。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4. </w:t>
      </w:r>
      <w:r>
        <w:rPr>
          <w:rFonts w:ascii="仿宋" w:hAnsi="仿宋" w:eastAsia="仿宋"/>
          <w:b/>
          <w:sz w:val="30"/>
        </w:rPr>
        <w:t>物业公司反驳：</w:t>
      </w:r>
      <w:r>
        <w:rPr>
          <w:rFonts w:ascii="仿宋" w:hAnsi="仿宋" w:eastAsia="仿宋"/>
          <w:b w:val="0"/>
          <w:sz w:val="30"/>
        </w:rPr>
        <w:t>不同日期只是行政机关或合同笔误。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不排除笔误，但要求以原件、归档和备案记录证明。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5. </w:t>
      </w:r>
      <w:r>
        <w:rPr>
          <w:rFonts w:ascii="仿宋" w:hAnsi="仿宋" w:eastAsia="仿宋"/>
          <w:b/>
          <w:sz w:val="30"/>
        </w:rPr>
        <w:t>物业公司反驳：</w:t>
      </w:r>
      <w:r>
        <w:rPr>
          <w:rFonts w:ascii="仿宋" w:hAnsi="仿宋" w:eastAsia="仿宋"/>
          <w:b w:val="0"/>
          <w:sz w:val="30"/>
        </w:rPr>
        <w:t>上诉人无权代表全体业主推翻合同。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一审已确认诉讼主体资格；合同效力对其权利有直接影响。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6. </w:t>
      </w:r>
      <w:r>
        <w:rPr>
          <w:rFonts w:ascii="仿宋" w:hAnsi="仿宋" w:eastAsia="仿宋"/>
          <w:b/>
          <w:sz w:val="30"/>
        </w:rPr>
        <w:t>开发商反驳：</w:t>
      </w:r>
      <w:r>
        <w:rPr>
          <w:rFonts w:ascii="仿宋" w:hAnsi="仿宋" w:eastAsia="仿宋"/>
          <w:b w:val="0"/>
          <w:sz w:val="30"/>
        </w:rPr>
        <w:t>邀请招标合法，备案表已经证明完成招标。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邀请方式不违法，但备案表不能证明投标、评标具体过程。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7. </w:t>
      </w:r>
      <w:r>
        <w:rPr>
          <w:rFonts w:ascii="仿宋" w:hAnsi="仿宋" w:eastAsia="仿宋"/>
          <w:b/>
          <w:sz w:val="30"/>
        </w:rPr>
        <w:t>开发商反驳：</w:t>
      </w:r>
      <w:r>
        <w:rPr>
          <w:rFonts w:ascii="仿宋" w:hAnsi="仿宋" w:eastAsia="仿宋"/>
          <w:b w:val="0"/>
          <w:sz w:val="30"/>
        </w:rPr>
        <w:t>同一集团投标是正常商业安排。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不作自动违法推论；结合赵力身份交叉审查是否可能影响公正。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8. </w:t>
      </w:r>
      <w:r>
        <w:rPr>
          <w:rFonts w:ascii="仿宋" w:hAnsi="仿宋" w:eastAsia="仿宋"/>
          <w:b/>
          <w:sz w:val="30"/>
        </w:rPr>
        <w:t>开发商反驳：</w:t>
      </w:r>
      <w:r>
        <w:rPr>
          <w:rFonts w:ascii="仿宋" w:hAnsi="仿宋" w:eastAsia="仿宋"/>
          <w:b w:val="0"/>
          <w:sz w:val="30"/>
        </w:rPr>
        <w:t>A/B/C是不同物业区域，资质面积不能相加。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要求以立项规划判断是否同一分期项目；地方规则关注项目开发总面积。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9. </w:t>
      </w:r>
      <w:r>
        <w:rPr>
          <w:rFonts w:ascii="仿宋" w:hAnsi="仿宋" w:eastAsia="仿宋"/>
          <w:b/>
          <w:sz w:val="30"/>
        </w:rPr>
        <w:t>开发商反驳：</w:t>
      </w:r>
      <w:r>
        <w:rPr>
          <w:rFonts w:ascii="仿宋" w:hAnsi="仿宋" w:eastAsia="仿宋"/>
          <w:b w:val="0"/>
          <w:sz w:val="30"/>
        </w:rPr>
        <w:t>招投标材料年代久远，找不到不能归责企业。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历史原因可解释缺失，但影响证明力；先查企业和机关是否有法定/惯常留存资料。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10. </w:t>
      </w:r>
      <w:r>
        <w:rPr>
          <w:rFonts w:ascii="仿宋" w:hAnsi="仿宋" w:eastAsia="仿宋"/>
          <w:b/>
          <w:sz w:val="30"/>
        </w:rPr>
        <w:t>开发商反驳：</w:t>
      </w:r>
      <w:r>
        <w:rPr>
          <w:rFonts w:ascii="仿宋" w:hAnsi="仿宋" w:eastAsia="仿宋"/>
          <w:b w:val="0"/>
          <w:sz w:val="30"/>
        </w:rPr>
        <w:t>地方规章和部门规章不能导致合同无效。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明确同意不当然无效；用其查事实，再结合行政法规和旧合同法判断后果。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11. </w:t>
      </w:r>
      <w:r>
        <w:rPr>
          <w:rFonts w:ascii="仿宋" w:hAnsi="仿宋" w:eastAsia="仿宋"/>
          <w:b/>
          <w:sz w:val="30"/>
        </w:rPr>
        <w:t>维持倾向法官反驳：</w:t>
      </w:r>
      <w:r>
        <w:rPr>
          <w:rFonts w:ascii="仿宋" w:hAnsi="仿宋" w:eastAsia="仿宋"/>
          <w:b w:val="0"/>
          <w:sz w:val="30"/>
        </w:rPr>
        <w:t>补正裁定只是笔误，二审可直接补充理由维持。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面积跨越30万界线且关联分期资质，属于可能改变结果的基本事实，不是纯理由瑕疵。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12. </w:t>
      </w:r>
      <w:r>
        <w:rPr>
          <w:rFonts w:ascii="仿宋" w:hAnsi="仿宋" w:eastAsia="仿宋"/>
          <w:b/>
          <w:sz w:val="30"/>
        </w:rPr>
        <w:t>维持倾向法官反驳：</w:t>
      </w:r>
      <w:r>
        <w:rPr>
          <w:rFonts w:ascii="仿宋" w:hAnsi="仿宋" w:eastAsia="仿宋"/>
          <w:b w:val="0"/>
          <w:sz w:val="30"/>
        </w:rPr>
        <w:t>第34条第一款要求两个条件，上诉人只证明了关联。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正因此请求调底卷，不请求仅凭关联认定无效；原判不能用未调取证据造成的缺口维持。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13. </w:t>
      </w:r>
      <w:r>
        <w:rPr>
          <w:rFonts w:ascii="仿宋" w:hAnsi="仿宋" w:eastAsia="仿宋"/>
          <w:b/>
          <w:sz w:val="30"/>
        </w:rPr>
        <w:t>维持倾向法官反驳：</w:t>
      </w:r>
      <w:r>
        <w:rPr>
          <w:rFonts w:ascii="仿宋" w:hAnsi="仿宋" w:eastAsia="仿宋"/>
          <w:b w:val="0"/>
          <w:sz w:val="30"/>
        </w:rPr>
        <w:t>行政判决已经认可总分公司安排。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行政案审查备案履职和程序条件，不直接裁判本案合同效力；授权原件仍需质证。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14. </w:t>
      </w:r>
      <w:r>
        <w:rPr>
          <w:rFonts w:ascii="仿宋" w:hAnsi="仿宋" w:eastAsia="仿宋"/>
          <w:b/>
          <w:sz w:val="30"/>
        </w:rPr>
        <w:t>维持倾向法官反驳：</w:t>
      </w:r>
      <w:r>
        <w:rPr>
          <w:rFonts w:ascii="仿宋" w:hAnsi="仿宋" w:eastAsia="仿宋"/>
          <w:b w:val="0"/>
          <w:sz w:val="30"/>
        </w:rPr>
        <w:t>即使有程序瑕疵，合同编通则解释第16条仍可认定有效。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第16条须先查清违规对象、程度、规范目的和替代责任；不能在事实未清时直接跳到结果。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15. </w:t>
      </w:r>
      <w:r>
        <w:rPr>
          <w:rFonts w:ascii="仿宋" w:hAnsi="仿宋" w:eastAsia="仿宋"/>
          <w:b/>
          <w:sz w:val="30"/>
        </w:rPr>
        <w:t>维持倾向法官反驳：</w:t>
      </w:r>
      <w:r>
        <w:rPr>
          <w:rFonts w:ascii="仿宋" w:hAnsi="仿宋" w:eastAsia="仿宋"/>
          <w:b w:val="0"/>
          <w:sz w:val="30"/>
        </w:rPr>
        <w:t>二审可自行查明，不必发回。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上诉人接受二审查明后改判；只有大量基本事实仍需调查、质证时才请求备位发回。</w:t>
      </w:r>
    </w:p>
    <w:p>
      <w:r>
        <w:rPr>
          <w:rFonts w:ascii="仿宋" w:hAnsi="仿宋" w:eastAsia="仿宋"/>
          <w:b/>
          <w:sz w:val="30"/>
        </w:rPr>
        <w:t>压力测试结论：</w:t>
      </w:r>
      <w:r>
        <w:rPr>
          <w:rFonts w:ascii="仿宋" w:hAnsi="仿宋" w:eastAsia="仿宋"/>
          <w:b w:val="0"/>
          <w:sz w:val="30"/>
        </w:rPr>
        <w:t>应对较强，尤其能说服谨慎法官发回；面对‘二审可自行查明’需强调调查量和质证必要。</w:t>
      </w:r>
    </w:p>
    <w:p>
      <w:pPr>
        <w:pStyle w:val="Heading2"/>
        <w:ind w:firstLine="0"/>
      </w:pPr>
      <w:r>
        <w:rPr>
          <w:rFonts w:ascii="仿宋" w:hAnsi="仿宋" w:eastAsia="仿宋"/>
          <w:b w:val="0"/>
          <w:sz w:val="30"/>
        </w:rPr>
        <w:t>B版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1. </w:t>
      </w:r>
      <w:r>
        <w:rPr>
          <w:rFonts w:ascii="仿宋" w:hAnsi="仿宋" w:eastAsia="仿宋"/>
          <w:b/>
          <w:sz w:val="30"/>
        </w:rPr>
        <w:t>物业公司反驳：</w:t>
      </w:r>
      <w:r>
        <w:rPr>
          <w:rFonts w:ascii="仿宋" w:hAnsi="仿宋" w:eastAsia="仿宋"/>
          <w:b w:val="0"/>
          <w:sz w:val="30"/>
        </w:rPr>
        <w:t>合同已履行十余年，业主已接受服务，确认无效破坏交易稳定。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区分订立效力与履行后果；承认既往服务可依法折价，不让长期履行替代事实审查。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2. </w:t>
      </w:r>
      <w:r>
        <w:rPr>
          <w:rFonts w:ascii="仿宋" w:hAnsi="仿宋" w:eastAsia="仿宋"/>
          <w:b/>
          <w:sz w:val="30"/>
        </w:rPr>
        <w:t>物业公司反驳：</w:t>
      </w:r>
      <w:r>
        <w:rPr>
          <w:rFonts w:ascii="仿宋" w:hAnsi="仿宋" w:eastAsia="仿宋"/>
          <w:b w:val="0"/>
          <w:sz w:val="30"/>
        </w:rPr>
        <w:t>分公司是总公司的分支机构，当然可以签约履约。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承认责任归属关系，但要求核对具体中标文件和授权范围。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3. </w:t>
      </w:r>
      <w:r>
        <w:rPr>
          <w:rFonts w:ascii="仿宋" w:hAnsi="仿宋" w:eastAsia="仿宋"/>
          <w:b/>
          <w:sz w:val="30"/>
        </w:rPr>
        <w:t>物业公司反驳：</w:t>
      </w:r>
      <w:r>
        <w:rPr>
          <w:rFonts w:ascii="仿宋" w:hAnsi="仿宋" w:eastAsia="仿宋"/>
          <w:b w:val="0"/>
          <w:sz w:val="30"/>
        </w:rPr>
        <w:t>B/C合同已经写明一级资质。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要求一级资质批准、生效日期对齐2016-04-22中标日。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4. </w:t>
      </w:r>
      <w:r>
        <w:rPr>
          <w:rFonts w:ascii="仿宋" w:hAnsi="仿宋" w:eastAsia="仿宋"/>
          <w:b/>
          <w:sz w:val="30"/>
        </w:rPr>
        <w:t>物业公司反驳：</w:t>
      </w:r>
      <w:r>
        <w:rPr>
          <w:rFonts w:ascii="仿宋" w:hAnsi="仿宋" w:eastAsia="仿宋"/>
          <w:b w:val="0"/>
          <w:sz w:val="30"/>
        </w:rPr>
        <w:t>不同日期只是行政机关或合同笔误。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不排除笔误，但要求以原件、归档和备案记录证明。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5. </w:t>
      </w:r>
      <w:r>
        <w:rPr>
          <w:rFonts w:ascii="仿宋" w:hAnsi="仿宋" w:eastAsia="仿宋"/>
          <w:b/>
          <w:sz w:val="30"/>
        </w:rPr>
        <w:t>物业公司反驳：</w:t>
      </w:r>
      <w:r>
        <w:rPr>
          <w:rFonts w:ascii="仿宋" w:hAnsi="仿宋" w:eastAsia="仿宋"/>
          <w:b w:val="0"/>
          <w:sz w:val="30"/>
        </w:rPr>
        <w:t>上诉人无权代表全体业主推翻合同。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一审已确认诉讼主体资格；合同效力对其权利有直接影响。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6. </w:t>
      </w:r>
      <w:r>
        <w:rPr>
          <w:rFonts w:ascii="仿宋" w:hAnsi="仿宋" w:eastAsia="仿宋"/>
          <w:b/>
          <w:sz w:val="30"/>
        </w:rPr>
        <w:t>开发商反驳：</w:t>
      </w:r>
      <w:r>
        <w:rPr>
          <w:rFonts w:ascii="仿宋" w:hAnsi="仿宋" w:eastAsia="仿宋"/>
          <w:b w:val="0"/>
          <w:sz w:val="30"/>
        </w:rPr>
        <w:t>邀请招标合法，备案表已经证明完成招标。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邀请方式不违法，但备案表不能证明投标、评标具体过程。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7. </w:t>
      </w:r>
      <w:r>
        <w:rPr>
          <w:rFonts w:ascii="仿宋" w:hAnsi="仿宋" w:eastAsia="仿宋"/>
          <w:b/>
          <w:sz w:val="30"/>
        </w:rPr>
        <w:t>开发商反驳：</w:t>
      </w:r>
      <w:r>
        <w:rPr>
          <w:rFonts w:ascii="仿宋" w:hAnsi="仿宋" w:eastAsia="仿宋"/>
          <w:b w:val="0"/>
          <w:sz w:val="30"/>
        </w:rPr>
        <w:t>同一集团投标是正常商业安排。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不作自动违法推论；结合赵力身份交叉审查是否可能影响公正。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8. </w:t>
      </w:r>
      <w:r>
        <w:rPr>
          <w:rFonts w:ascii="仿宋" w:hAnsi="仿宋" w:eastAsia="仿宋"/>
          <w:b/>
          <w:sz w:val="30"/>
        </w:rPr>
        <w:t>开发商反驳：</w:t>
      </w:r>
      <w:r>
        <w:rPr>
          <w:rFonts w:ascii="仿宋" w:hAnsi="仿宋" w:eastAsia="仿宋"/>
          <w:b w:val="0"/>
          <w:sz w:val="30"/>
        </w:rPr>
        <w:t>A/B/C是不同物业区域，资质面积不能相加。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要求以立项规划判断是否同一分期项目；地方规则关注项目开发总面积。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9. </w:t>
      </w:r>
      <w:r>
        <w:rPr>
          <w:rFonts w:ascii="仿宋" w:hAnsi="仿宋" w:eastAsia="仿宋"/>
          <w:b/>
          <w:sz w:val="30"/>
        </w:rPr>
        <w:t>开发商反驳：</w:t>
      </w:r>
      <w:r>
        <w:rPr>
          <w:rFonts w:ascii="仿宋" w:hAnsi="仿宋" w:eastAsia="仿宋"/>
          <w:b w:val="0"/>
          <w:sz w:val="30"/>
        </w:rPr>
        <w:t>招投标材料年代久远，找不到不能归责企业。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历史原因可解释缺失，但影响证明力；先查企业和机关是否有法定/惯常留存资料。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10. </w:t>
      </w:r>
      <w:r>
        <w:rPr>
          <w:rFonts w:ascii="仿宋" w:hAnsi="仿宋" w:eastAsia="仿宋"/>
          <w:b/>
          <w:sz w:val="30"/>
        </w:rPr>
        <w:t>开发商反驳：</w:t>
      </w:r>
      <w:r>
        <w:rPr>
          <w:rFonts w:ascii="仿宋" w:hAnsi="仿宋" w:eastAsia="仿宋"/>
          <w:b w:val="0"/>
          <w:sz w:val="30"/>
        </w:rPr>
        <w:t>地方规章和部门规章不能导致合同无效。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明确同意不当然无效；用其查事实，再结合行政法规和旧合同法判断后果。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11. </w:t>
      </w:r>
      <w:r>
        <w:rPr>
          <w:rFonts w:ascii="仿宋" w:hAnsi="仿宋" w:eastAsia="仿宋"/>
          <w:b/>
          <w:sz w:val="30"/>
        </w:rPr>
        <w:t>维持倾向法官反驳：</w:t>
      </w:r>
      <w:r>
        <w:rPr>
          <w:rFonts w:ascii="仿宋" w:hAnsi="仿宋" w:eastAsia="仿宋"/>
          <w:b w:val="0"/>
          <w:sz w:val="30"/>
        </w:rPr>
        <w:t>补正裁定只是笔误，二审可直接补充理由维持。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面积跨越30万界线且关联分期资质，属于可能改变结果的基本事实，不是纯理由瑕疵。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12. </w:t>
      </w:r>
      <w:r>
        <w:rPr>
          <w:rFonts w:ascii="仿宋" w:hAnsi="仿宋" w:eastAsia="仿宋"/>
          <w:b/>
          <w:sz w:val="30"/>
        </w:rPr>
        <w:t>维持倾向法官反驳：</w:t>
      </w:r>
      <w:r>
        <w:rPr>
          <w:rFonts w:ascii="仿宋" w:hAnsi="仿宋" w:eastAsia="仿宋"/>
          <w:b w:val="0"/>
          <w:sz w:val="30"/>
        </w:rPr>
        <w:t>第34条第一款要求两个条件，上诉人只证明了关联。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正因此请求调底卷，不请求仅凭关联认定无效；原判不能用未调取证据造成的缺口维持。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13. </w:t>
      </w:r>
      <w:r>
        <w:rPr>
          <w:rFonts w:ascii="仿宋" w:hAnsi="仿宋" w:eastAsia="仿宋"/>
          <w:b/>
          <w:sz w:val="30"/>
        </w:rPr>
        <w:t>维持倾向法官反驳：</w:t>
      </w:r>
      <w:r>
        <w:rPr>
          <w:rFonts w:ascii="仿宋" w:hAnsi="仿宋" w:eastAsia="仿宋"/>
          <w:b w:val="0"/>
          <w:sz w:val="30"/>
        </w:rPr>
        <w:t>行政判决已经认可总分公司安排。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行政案审查备案履职和程序条件，不直接裁判本案合同效力；授权原件仍需质证。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14. </w:t>
      </w:r>
      <w:r>
        <w:rPr>
          <w:rFonts w:ascii="仿宋" w:hAnsi="仿宋" w:eastAsia="仿宋"/>
          <w:b/>
          <w:sz w:val="30"/>
        </w:rPr>
        <w:t>维持倾向法官反驳：</w:t>
      </w:r>
      <w:r>
        <w:rPr>
          <w:rFonts w:ascii="仿宋" w:hAnsi="仿宋" w:eastAsia="仿宋"/>
          <w:b w:val="0"/>
          <w:sz w:val="30"/>
        </w:rPr>
        <w:t>即使有程序瑕疵，合同编通则解释第16条仍可认定有效。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第16条须先查清违规对象、程度、规范目的和替代责任；不能在事实未清时直接跳到结果。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15. </w:t>
      </w:r>
      <w:r>
        <w:rPr>
          <w:rFonts w:ascii="仿宋" w:hAnsi="仿宋" w:eastAsia="仿宋"/>
          <w:b/>
          <w:sz w:val="30"/>
        </w:rPr>
        <w:t>维持倾向法官反驳：</w:t>
      </w:r>
      <w:r>
        <w:rPr>
          <w:rFonts w:ascii="仿宋" w:hAnsi="仿宋" w:eastAsia="仿宋"/>
          <w:b w:val="0"/>
          <w:sz w:val="30"/>
        </w:rPr>
        <w:t>二审可自行查明，不必发回。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上诉人接受二审查明后改判；只有大量基本事实仍需调查、质证时才请求备位发回。</w:t>
      </w:r>
    </w:p>
    <w:p>
      <w:r>
        <w:rPr>
          <w:rFonts w:ascii="仿宋" w:hAnsi="仿宋" w:eastAsia="仿宋"/>
          <w:b/>
          <w:sz w:val="30"/>
        </w:rPr>
        <w:t>压力测试结论：</w:t>
      </w:r>
      <w:r>
        <w:rPr>
          <w:rFonts w:ascii="仿宋" w:hAnsi="仿宋" w:eastAsia="仿宋"/>
          <w:b w:val="0"/>
          <w:sz w:val="30"/>
        </w:rPr>
        <w:t>法律回应最强，但若法官把争点视为纯事实不足，容易显得理论先行。</w:t>
      </w:r>
    </w:p>
    <w:p>
      <w:pPr>
        <w:pStyle w:val="Heading2"/>
        <w:ind w:firstLine="0"/>
      </w:pPr>
      <w:r>
        <w:rPr>
          <w:rFonts w:ascii="仿宋" w:hAnsi="仿宋" w:eastAsia="仿宋"/>
          <w:b w:val="0"/>
          <w:sz w:val="30"/>
        </w:rPr>
        <w:t>C版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1. </w:t>
      </w:r>
      <w:r>
        <w:rPr>
          <w:rFonts w:ascii="仿宋" w:hAnsi="仿宋" w:eastAsia="仿宋"/>
          <w:b/>
          <w:sz w:val="30"/>
        </w:rPr>
        <w:t>物业公司反驳：</w:t>
      </w:r>
      <w:r>
        <w:rPr>
          <w:rFonts w:ascii="仿宋" w:hAnsi="仿宋" w:eastAsia="仿宋"/>
          <w:b w:val="0"/>
          <w:sz w:val="30"/>
        </w:rPr>
        <w:t>合同已履行十余年，业主已接受服务，确认无效破坏交易稳定。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区分订立效力与履行后果；承认既往服务可依法折价，不让长期履行替代事实审查。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2. </w:t>
      </w:r>
      <w:r>
        <w:rPr>
          <w:rFonts w:ascii="仿宋" w:hAnsi="仿宋" w:eastAsia="仿宋"/>
          <w:b/>
          <w:sz w:val="30"/>
        </w:rPr>
        <w:t>物业公司反驳：</w:t>
      </w:r>
      <w:r>
        <w:rPr>
          <w:rFonts w:ascii="仿宋" w:hAnsi="仿宋" w:eastAsia="仿宋"/>
          <w:b w:val="0"/>
          <w:sz w:val="30"/>
        </w:rPr>
        <w:t>分公司是总公司的分支机构，当然可以签约履约。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承认责任归属关系，但要求核对具体中标文件和授权范围。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3. </w:t>
      </w:r>
      <w:r>
        <w:rPr>
          <w:rFonts w:ascii="仿宋" w:hAnsi="仿宋" w:eastAsia="仿宋"/>
          <w:b/>
          <w:sz w:val="30"/>
        </w:rPr>
        <w:t>物业公司反驳：</w:t>
      </w:r>
      <w:r>
        <w:rPr>
          <w:rFonts w:ascii="仿宋" w:hAnsi="仿宋" w:eastAsia="仿宋"/>
          <w:b w:val="0"/>
          <w:sz w:val="30"/>
        </w:rPr>
        <w:t>B/C合同已经写明一级资质。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要求一级资质批准、生效日期对齐2016-04-22中标日。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4. </w:t>
      </w:r>
      <w:r>
        <w:rPr>
          <w:rFonts w:ascii="仿宋" w:hAnsi="仿宋" w:eastAsia="仿宋"/>
          <w:b/>
          <w:sz w:val="30"/>
        </w:rPr>
        <w:t>物业公司反驳：</w:t>
      </w:r>
      <w:r>
        <w:rPr>
          <w:rFonts w:ascii="仿宋" w:hAnsi="仿宋" w:eastAsia="仿宋"/>
          <w:b w:val="0"/>
          <w:sz w:val="30"/>
        </w:rPr>
        <w:t>不同日期只是行政机关或合同笔误。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不排除笔误，但要求以原件、归档和备案记录证明。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5. </w:t>
      </w:r>
      <w:r>
        <w:rPr>
          <w:rFonts w:ascii="仿宋" w:hAnsi="仿宋" w:eastAsia="仿宋"/>
          <w:b/>
          <w:sz w:val="30"/>
        </w:rPr>
        <w:t>物业公司反驳：</w:t>
      </w:r>
      <w:r>
        <w:rPr>
          <w:rFonts w:ascii="仿宋" w:hAnsi="仿宋" w:eastAsia="仿宋"/>
          <w:b w:val="0"/>
          <w:sz w:val="30"/>
        </w:rPr>
        <w:t>上诉人无权代表全体业主推翻合同。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一审已确认诉讼主体资格；合同效力对其权利有直接影响。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6. </w:t>
      </w:r>
      <w:r>
        <w:rPr>
          <w:rFonts w:ascii="仿宋" w:hAnsi="仿宋" w:eastAsia="仿宋"/>
          <w:b/>
          <w:sz w:val="30"/>
        </w:rPr>
        <w:t>开发商反驳：</w:t>
      </w:r>
      <w:r>
        <w:rPr>
          <w:rFonts w:ascii="仿宋" w:hAnsi="仿宋" w:eastAsia="仿宋"/>
          <w:b w:val="0"/>
          <w:sz w:val="30"/>
        </w:rPr>
        <w:t>邀请招标合法，备案表已经证明完成招标。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邀请方式不违法，但备案表不能证明投标、评标具体过程。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7. </w:t>
      </w:r>
      <w:r>
        <w:rPr>
          <w:rFonts w:ascii="仿宋" w:hAnsi="仿宋" w:eastAsia="仿宋"/>
          <w:b/>
          <w:sz w:val="30"/>
        </w:rPr>
        <w:t>开发商反驳：</w:t>
      </w:r>
      <w:r>
        <w:rPr>
          <w:rFonts w:ascii="仿宋" w:hAnsi="仿宋" w:eastAsia="仿宋"/>
          <w:b w:val="0"/>
          <w:sz w:val="30"/>
        </w:rPr>
        <w:t>同一集团投标是正常商业安排。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不作自动违法推论；结合赵力身份交叉审查是否可能影响公正。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8. </w:t>
      </w:r>
      <w:r>
        <w:rPr>
          <w:rFonts w:ascii="仿宋" w:hAnsi="仿宋" w:eastAsia="仿宋"/>
          <w:b/>
          <w:sz w:val="30"/>
        </w:rPr>
        <w:t>开发商反驳：</w:t>
      </w:r>
      <w:r>
        <w:rPr>
          <w:rFonts w:ascii="仿宋" w:hAnsi="仿宋" w:eastAsia="仿宋"/>
          <w:b w:val="0"/>
          <w:sz w:val="30"/>
        </w:rPr>
        <w:t>A/B/C是不同物业区域，资质面积不能相加。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要求以立项规划判断是否同一分期项目；地方规则关注项目开发总面积。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9. </w:t>
      </w:r>
      <w:r>
        <w:rPr>
          <w:rFonts w:ascii="仿宋" w:hAnsi="仿宋" w:eastAsia="仿宋"/>
          <w:b/>
          <w:sz w:val="30"/>
        </w:rPr>
        <w:t>开发商反驳：</w:t>
      </w:r>
      <w:r>
        <w:rPr>
          <w:rFonts w:ascii="仿宋" w:hAnsi="仿宋" w:eastAsia="仿宋"/>
          <w:b w:val="0"/>
          <w:sz w:val="30"/>
        </w:rPr>
        <w:t>招投标材料年代久远，找不到不能归责企业。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历史原因可解释缺失，但影响证明力；先查企业和机关是否有法定/惯常留存资料。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10. </w:t>
      </w:r>
      <w:r>
        <w:rPr>
          <w:rFonts w:ascii="仿宋" w:hAnsi="仿宋" w:eastAsia="仿宋"/>
          <w:b/>
          <w:sz w:val="30"/>
        </w:rPr>
        <w:t>开发商反驳：</w:t>
      </w:r>
      <w:r>
        <w:rPr>
          <w:rFonts w:ascii="仿宋" w:hAnsi="仿宋" w:eastAsia="仿宋"/>
          <w:b w:val="0"/>
          <w:sz w:val="30"/>
        </w:rPr>
        <w:t>地方规章和部门规章不能导致合同无效。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明确同意不当然无效；用其查事实，再结合行政法规和旧合同法判断后果。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11. </w:t>
      </w:r>
      <w:r>
        <w:rPr>
          <w:rFonts w:ascii="仿宋" w:hAnsi="仿宋" w:eastAsia="仿宋"/>
          <w:b/>
          <w:sz w:val="30"/>
        </w:rPr>
        <w:t>维持倾向法官反驳：</w:t>
      </w:r>
      <w:r>
        <w:rPr>
          <w:rFonts w:ascii="仿宋" w:hAnsi="仿宋" w:eastAsia="仿宋"/>
          <w:b w:val="0"/>
          <w:sz w:val="30"/>
        </w:rPr>
        <w:t>补正裁定只是笔误，二审可直接补充理由维持。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面积跨越30万界线且关联分期资质，属于可能改变结果的基本事实，不是纯理由瑕疵。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12. </w:t>
      </w:r>
      <w:r>
        <w:rPr>
          <w:rFonts w:ascii="仿宋" w:hAnsi="仿宋" w:eastAsia="仿宋"/>
          <w:b/>
          <w:sz w:val="30"/>
        </w:rPr>
        <w:t>维持倾向法官反驳：</w:t>
      </w:r>
      <w:r>
        <w:rPr>
          <w:rFonts w:ascii="仿宋" w:hAnsi="仿宋" w:eastAsia="仿宋"/>
          <w:b w:val="0"/>
          <w:sz w:val="30"/>
        </w:rPr>
        <w:t>第34条第一款要求两个条件，上诉人只证明了关联。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正因此请求调底卷，不请求仅凭关联认定无效；原判不能用未调取证据造成的缺口维持。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13. </w:t>
      </w:r>
      <w:r>
        <w:rPr>
          <w:rFonts w:ascii="仿宋" w:hAnsi="仿宋" w:eastAsia="仿宋"/>
          <w:b/>
          <w:sz w:val="30"/>
        </w:rPr>
        <w:t>维持倾向法官反驳：</w:t>
      </w:r>
      <w:r>
        <w:rPr>
          <w:rFonts w:ascii="仿宋" w:hAnsi="仿宋" w:eastAsia="仿宋"/>
          <w:b w:val="0"/>
          <w:sz w:val="30"/>
        </w:rPr>
        <w:t>行政判决已经认可总分公司安排。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行政案审查备案履职和程序条件，不直接裁判本案合同效力；授权原件仍需质证。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14. </w:t>
      </w:r>
      <w:r>
        <w:rPr>
          <w:rFonts w:ascii="仿宋" w:hAnsi="仿宋" w:eastAsia="仿宋"/>
          <w:b/>
          <w:sz w:val="30"/>
        </w:rPr>
        <w:t>维持倾向法官反驳：</w:t>
      </w:r>
      <w:r>
        <w:rPr>
          <w:rFonts w:ascii="仿宋" w:hAnsi="仿宋" w:eastAsia="仿宋"/>
          <w:b w:val="0"/>
          <w:sz w:val="30"/>
        </w:rPr>
        <w:t>即使有程序瑕疵，合同编通则解释第16条仍可认定有效。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第16条须先查清违规对象、程度、规范目的和替代责任；不能在事实未清时直接跳到结果。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15. </w:t>
      </w:r>
      <w:r>
        <w:rPr>
          <w:rFonts w:ascii="仿宋" w:hAnsi="仿宋" w:eastAsia="仿宋"/>
          <w:b/>
          <w:sz w:val="30"/>
        </w:rPr>
        <w:t>维持倾向法官反驳：</w:t>
      </w:r>
      <w:r>
        <w:rPr>
          <w:rFonts w:ascii="仿宋" w:hAnsi="仿宋" w:eastAsia="仿宋"/>
          <w:b w:val="0"/>
          <w:sz w:val="30"/>
        </w:rPr>
        <w:t>二审可自行查明，不必发回。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上诉人接受二审查明后改判；只有大量基本事实仍需调查、质证时才请求备位发回。</w:t>
      </w:r>
    </w:p>
    <w:p>
      <w:r>
        <w:rPr>
          <w:rFonts w:ascii="仿宋" w:hAnsi="仿宋" w:eastAsia="仿宋"/>
          <w:b/>
          <w:sz w:val="30"/>
        </w:rPr>
        <w:t>压力测试结论：</w:t>
      </w:r>
      <w:r>
        <w:rPr>
          <w:rFonts w:ascii="仿宋" w:hAnsi="仿宋" w:eastAsia="仿宋"/>
          <w:b w:val="0"/>
          <w:sz w:val="30"/>
        </w:rPr>
        <w:t>面积和资质回答清楚；面对‘规章不直接导致无效’和‘A/B/C不同区域’风险最大。</w:t>
      </w:r>
    </w:p>
    <w:p>
      <w:pPr>
        <w:pStyle w:val="Heading2"/>
        <w:ind w:firstLine="0"/>
      </w:pPr>
      <w:r>
        <w:rPr>
          <w:rFonts w:ascii="仿宋" w:hAnsi="仿宋" w:eastAsia="仿宋"/>
          <w:b w:val="0"/>
          <w:sz w:val="30"/>
        </w:rPr>
        <w:t>D版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1. </w:t>
      </w:r>
      <w:r>
        <w:rPr>
          <w:rFonts w:ascii="仿宋" w:hAnsi="仿宋" w:eastAsia="仿宋"/>
          <w:b/>
          <w:sz w:val="30"/>
        </w:rPr>
        <w:t>物业公司反驳：</w:t>
      </w:r>
      <w:r>
        <w:rPr>
          <w:rFonts w:ascii="仿宋" w:hAnsi="仿宋" w:eastAsia="仿宋"/>
          <w:b w:val="0"/>
          <w:sz w:val="30"/>
        </w:rPr>
        <w:t>合同已履行十余年，业主已接受服务，确认无效破坏交易稳定。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区分订立效力与履行后果；承认既往服务可依法折价，不让长期履行替代事实审查。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2. </w:t>
      </w:r>
      <w:r>
        <w:rPr>
          <w:rFonts w:ascii="仿宋" w:hAnsi="仿宋" w:eastAsia="仿宋"/>
          <w:b/>
          <w:sz w:val="30"/>
        </w:rPr>
        <w:t>物业公司反驳：</w:t>
      </w:r>
      <w:r>
        <w:rPr>
          <w:rFonts w:ascii="仿宋" w:hAnsi="仿宋" w:eastAsia="仿宋"/>
          <w:b w:val="0"/>
          <w:sz w:val="30"/>
        </w:rPr>
        <w:t>分公司是总公司的分支机构，当然可以签约履约。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承认责任归属关系，但要求核对具体中标文件和授权范围。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3. </w:t>
      </w:r>
      <w:r>
        <w:rPr>
          <w:rFonts w:ascii="仿宋" w:hAnsi="仿宋" w:eastAsia="仿宋"/>
          <w:b/>
          <w:sz w:val="30"/>
        </w:rPr>
        <w:t>物业公司反驳：</w:t>
      </w:r>
      <w:r>
        <w:rPr>
          <w:rFonts w:ascii="仿宋" w:hAnsi="仿宋" w:eastAsia="仿宋"/>
          <w:b w:val="0"/>
          <w:sz w:val="30"/>
        </w:rPr>
        <w:t>B/C合同已经写明一级资质。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要求一级资质批准、生效日期对齐2016-04-22中标日。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4. </w:t>
      </w:r>
      <w:r>
        <w:rPr>
          <w:rFonts w:ascii="仿宋" w:hAnsi="仿宋" w:eastAsia="仿宋"/>
          <w:b/>
          <w:sz w:val="30"/>
        </w:rPr>
        <w:t>物业公司反驳：</w:t>
      </w:r>
      <w:r>
        <w:rPr>
          <w:rFonts w:ascii="仿宋" w:hAnsi="仿宋" w:eastAsia="仿宋"/>
          <w:b w:val="0"/>
          <w:sz w:val="30"/>
        </w:rPr>
        <w:t>不同日期只是行政机关或合同笔误。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不排除笔误，但要求以原件、归档和备案记录证明。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5. </w:t>
      </w:r>
      <w:r>
        <w:rPr>
          <w:rFonts w:ascii="仿宋" w:hAnsi="仿宋" w:eastAsia="仿宋"/>
          <w:b/>
          <w:sz w:val="30"/>
        </w:rPr>
        <w:t>物业公司反驳：</w:t>
      </w:r>
      <w:r>
        <w:rPr>
          <w:rFonts w:ascii="仿宋" w:hAnsi="仿宋" w:eastAsia="仿宋"/>
          <w:b w:val="0"/>
          <w:sz w:val="30"/>
        </w:rPr>
        <w:t>上诉人无权代表全体业主推翻合同。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一审已确认诉讼主体资格；合同效力对其权利有直接影响。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6. </w:t>
      </w:r>
      <w:r>
        <w:rPr>
          <w:rFonts w:ascii="仿宋" w:hAnsi="仿宋" w:eastAsia="仿宋"/>
          <w:b/>
          <w:sz w:val="30"/>
        </w:rPr>
        <w:t>开发商反驳：</w:t>
      </w:r>
      <w:r>
        <w:rPr>
          <w:rFonts w:ascii="仿宋" w:hAnsi="仿宋" w:eastAsia="仿宋"/>
          <w:b w:val="0"/>
          <w:sz w:val="30"/>
        </w:rPr>
        <w:t>邀请招标合法，备案表已经证明完成招标。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邀请方式不违法，但备案表不能证明投标、评标具体过程。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7. </w:t>
      </w:r>
      <w:r>
        <w:rPr>
          <w:rFonts w:ascii="仿宋" w:hAnsi="仿宋" w:eastAsia="仿宋"/>
          <w:b/>
          <w:sz w:val="30"/>
        </w:rPr>
        <w:t>开发商反驳：</w:t>
      </w:r>
      <w:r>
        <w:rPr>
          <w:rFonts w:ascii="仿宋" w:hAnsi="仿宋" w:eastAsia="仿宋"/>
          <w:b w:val="0"/>
          <w:sz w:val="30"/>
        </w:rPr>
        <w:t>同一集团投标是正常商业安排。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不作自动违法推论；结合赵力身份交叉审查是否可能影响公正。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8. </w:t>
      </w:r>
      <w:r>
        <w:rPr>
          <w:rFonts w:ascii="仿宋" w:hAnsi="仿宋" w:eastAsia="仿宋"/>
          <w:b/>
          <w:sz w:val="30"/>
        </w:rPr>
        <w:t>开发商反驳：</w:t>
      </w:r>
      <w:r>
        <w:rPr>
          <w:rFonts w:ascii="仿宋" w:hAnsi="仿宋" w:eastAsia="仿宋"/>
          <w:b w:val="0"/>
          <w:sz w:val="30"/>
        </w:rPr>
        <w:t>A/B/C是不同物业区域，资质面积不能相加。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要求以立项规划判断是否同一分期项目；地方规则关注项目开发总面积。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9. </w:t>
      </w:r>
      <w:r>
        <w:rPr>
          <w:rFonts w:ascii="仿宋" w:hAnsi="仿宋" w:eastAsia="仿宋"/>
          <w:b/>
          <w:sz w:val="30"/>
        </w:rPr>
        <w:t>开发商反驳：</w:t>
      </w:r>
      <w:r>
        <w:rPr>
          <w:rFonts w:ascii="仿宋" w:hAnsi="仿宋" w:eastAsia="仿宋"/>
          <w:b w:val="0"/>
          <w:sz w:val="30"/>
        </w:rPr>
        <w:t>招投标材料年代久远，找不到不能归责企业。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历史原因可解释缺失，但影响证明力；先查企业和机关是否有法定/惯常留存资料。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10. </w:t>
      </w:r>
      <w:r>
        <w:rPr>
          <w:rFonts w:ascii="仿宋" w:hAnsi="仿宋" w:eastAsia="仿宋"/>
          <w:b/>
          <w:sz w:val="30"/>
        </w:rPr>
        <w:t>开发商反驳：</w:t>
      </w:r>
      <w:r>
        <w:rPr>
          <w:rFonts w:ascii="仿宋" w:hAnsi="仿宋" w:eastAsia="仿宋"/>
          <w:b w:val="0"/>
          <w:sz w:val="30"/>
        </w:rPr>
        <w:t>地方规章和部门规章不能导致合同无效。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明确同意不当然无效；用其查事实，再结合行政法规和旧合同法判断后果。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11. </w:t>
      </w:r>
      <w:r>
        <w:rPr>
          <w:rFonts w:ascii="仿宋" w:hAnsi="仿宋" w:eastAsia="仿宋"/>
          <w:b/>
          <w:sz w:val="30"/>
        </w:rPr>
        <w:t>维持倾向法官反驳：</w:t>
      </w:r>
      <w:r>
        <w:rPr>
          <w:rFonts w:ascii="仿宋" w:hAnsi="仿宋" w:eastAsia="仿宋"/>
          <w:b w:val="0"/>
          <w:sz w:val="30"/>
        </w:rPr>
        <w:t>补正裁定只是笔误，二审可直接补充理由维持。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面积跨越30万界线且关联分期资质，属于可能改变结果的基本事实，不是纯理由瑕疵。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12. </w:t>
      </w:r>
      <w:r>
        <w:rPr>
          <w:rFonts w:ascii="仿宋" w:hAnsi="仿宋" w:eastAsia="仿宋"/>
          <w:b/>
          <w:sz w:val="30"/>
        </w:rPr>
        <w:t>维持倾向法官反驳：</w:t>
      </w:r>
      <w:r>
        <w:rPr>
          <w:rFonts w:ascii="仿宋" w:hAnsi="仿宋" w:eastAsia="仿宋"/>
          <w:b w:val="0"/>
          <w:sz w:val="30"/>
        </w:rPr>
        <w:t>第34条第一款要求两个条件，上诉人只证明了关联。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正因此请求调底卷，不请求仅凭关联认定无效；原判不能用未调取证据造成的缺口维持。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13. </w:t>
      </w:r>
      <w:r>
        <w:rPr>
          <w:rFonts w:ascii="仿宋" w:hAnsi="仿宋" w:eastAsia="仿宋"/>
          <w:b/>
          <w:sz w:val="30"/>
        </w:rPr>
        <w:t>维持倾向法官反驳：</w:t>
      </w:r>
      <w:r>
        <w:rPr>
          <w:rFonts w:ascii="仿宋" w:hAnsi="仿宋" w:eastAsia="仿宋"/>
          <w:b w:val="0"/>
          <w:sz w:val="30"/>
        </w:rPr>
        <w:t>行政判决已经认可总分公司安排。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行政案审查备案履职和程序条件，不直接裁判本案合同效力；授权原件仍需质证。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14. </w:t>
      </w:r>
      <w:r>
        <w:rPr>
          <w:rFonts w:ascii="仿宋" w:hAnsi="仿宋" w:eastAsia="仿宋"/>
          <w:b/>
          <w:sz w:val="30"/>
        </w:rPr>
        <w:t>维持倾向法官反驳：</w:t>
      </w:r>
      <w:r>
        <w:rPr>
          <w:rFonts w:ascii="仿宋" w:hAnsi="仿宋" w:eastAsia="仿宋"/>
          <w:b w:val="0"/>
          <w:sz w:val="30"/>
        </w:rPr>
        <w:t>即使有程序瑕疵，合同编通则解释第16条仍可认定有效。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第16条须先查清违规对象、程度、规范目的和替代责任；不能在事实未清时直接跳到结果。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15. </w:t>
      </w:r>
      <w:r>
        <w:rPr>
          <w:rFonts w:ascii="仿宋" w:hAnsi="仿宋" w:eastAsia="仿宋"/>
          <w:b/>
          <w:sz w:val="30"/>
        </w:rPr>
        <w:t>维持倾向法官反驳：</w:t>
      </w:r>
      <w:r>
        <w:rPr>
          <w:rFonts w:ascii="仿宋" w:hAnsi="仿宋" w:eastAsia="仿宋"/>
          <w:b w:val="0"/>
          <w:sz w:val="30"/>
        </w:rPr>
        <w:t>二审可自行查明，不必发回。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上诉人接受二审查明后改判；只有大量基本事实仍需调查、质证时才请求备位发回。</w:t>
      </w:r>
    </w:p>
    <w:p>
      <w:r>
        <w:rPr>
          <w:rFonts w:ascii="仿宋" w:hAnsi="仿宋" w:eastAsia="仿宋"/>
          <w:b/>
          <w:sz w:val="30"/>
        </w:rPr>
        <w:t>压力测试结论：</w:t>
      </w:r>
      <w:r>
        <w:rPr>
          <w:rFonts w:ascii="仿宋" w:hAnsi="仿宋" w:eastAsia="仿宋"/>
          <w:b w:val="0"/>
          <w:sz w:val="30"/>
        </w:rPr>
        <w:t>各反驳均有回应，缺点是主线稍多，口头表达需压缩。</w:t>
      </w:r>
    </w:p>
    <w:p>
      <w:pPr>
        <w:pStyle w:val="Heading2"/>
        <w:ind w:firstLine="0"/>
      </w:pPr>
      <w:r>
        <w:rPr>
          <w:rFonts w:ascii="仿宋" w:hAnsi="仿宋" w:eastAsia="仿宋"/>
          <w:b w:val="0"/>
          <w:sz w:val="30"/>
        </w:rPr>
        <w:t>E版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1. </w:t>
      </w:r>
      <w:r>
        <w:rPr>
          <w:rFonts w:ascii="仿宋" w:hAnsi="仿宋" w:eastAsia="仿宋"/>
          <w:b/>
          <w:sz w:val="30"/>
        </w:rPr>
        <w:t>物业公司反驳：</w:t>
      </w:r>
      <w:r>
        <w:rPr>
          <w:rFonts w:ascii="仿宋" w:hAnsi="仿宋" w:eastAsia="仿宋"/>
          <w:b w:val="0"/>
          <w:sz w:val="30"/>
        </w:rPr>
        <w:t>合同已履行十余年，业主已接受服务，确认无效破坏交易稳定。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区分订立效力与履行后果；承认既往服务可依法折价，不让长期履行替代事实审查。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2. </w:t>
      </w:r>
      <w:r>
        <w:rPr>
          <w:rFonts w:ascii="仿宋" w:hAnsi="仿宋" w:eastAsia="仿宋"/>
          <w:b/>
          <w:sz w:val="30"/>
        </w:rPr>
        <w:t>物业公司反驳：</w:t>
      </w:r>
      <w:r>
        <w:rPr>
          <w:rFonts w:ascii="仿宋" w:hAnsi="仿宋" w:eastAsia="仿宋"/>
          <w:b w:val="0"/>
          <w:sz w:val="30"/>
        </w:rPr>
        <w:t>分公司是总公司的分支机构，当然可以签约履约。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承认责任归属关系，但要求核对具体中标文件和授权范围。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3. </w:t>
      </w:r>
      <w:r>
        <w:rPr>
          <w:rFonts w:ascii="仿宋" w:hAnsi="仿宋" w:eastAsia="仿宋"/>
          <w:b/>
          <w:sz w:val="30"/>
        </w:rPr>
        <w:t>物业公司反驳：</w:t>
      </w:r>
      <w:r>
        <w:rPr>
          <w:rFonts w:ascii="仿宋" w:hAnsi="仿宋" w:eastAsia="仿宋"/>
          <w:b w:val="0"/>
          <w:sz w:val="30"/>
        </w:rPr>
        <w:t>B/C合同已经写明一级资质。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要求一级资质批准、生效日期对齐2016-04-22中标日。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4. </w:t>
      </w:r>
      <w:r>
        <w:rPr>
          <w:rFonts w:ascii="仿宋" w:hAnsi="仿宋" w:eastAsia="仿宋"/>
          <w:b/>
          <w:sz w:val="30"/>
        </w:rPr>
        <w:t>物业公司反驳：</w:t>
      </w:r>
      <w:r>
        <w:rPr>
          <w:rFonts w:ascii="仿宋" w:hAnsi="仿宋" w:eastAsia="仿宋"/>
          <w:b w:val="0"/>
          <w:sz w:val="30"/>
        </w:rPr>
        <w:t>不同日期只是行政机关或合同笔误。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不排除笔误，但要求以原件、归档和备案记录证明。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5. </w:t>
      </w:r>
      <w:r>
        <w:rPr>
          <w:rFonts w:ascii="仿宋" w:hAnsi="仿宋" w:eastAsia="仿宋"/>
          <w:b/>
          <w:sz w:val="30"/>
        </w:rPr>
        <w:t>物业公司反驳：</w:t>
      </w:r>
      <w:r>
        <w:rPr>
          <w:rFonts w:ascii="仿宋" w:hAnsi="仿宋" w:eastAsia="仿宋"/>
          <w:b w:val="0"/>
          <w:sz w:val="30"/>
        </w:rPr>
        <w:t>上诉人无权代表全体业主推翻合同。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一审已确认诉讼主体资格；合同效力对其权利有直接影响。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6. </w:t>
      </w:r>
      <w:r>
        <w:rPr>
          <w:rFonts w:ascii="仿宋" w:hAnsi="仿宋" w:eastAsia="仿宋"/>
          <w:b/>
          <w:sz w:val="30"/>
        </w:rPr>
        <w:t>开发商反驳：</w:t>
      </w:r>
      <w:r>
        <w:rPr>
          <w:rFonts w:ascii="仿宋" w:hAnsi="仿宋" w:eastAsia="仿宋"/>
          <w:b w:val="0"/>
          <w:sz w:val="30"/>
        </w:rPr>
        <w:t>邀请招标合法，备案表已经证明完成招标。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邀请方式不违法，但备案表不能证明投标、评标具体过程。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7. </w:t>
      </w:r>
      <w:r>
        <w:rPr>
          <w:rFonts w:ascii="仿宋" w:hAnsi="仿宋" w:eastAsia="仿宋"/>
          <w:b/>
          <w:sz w:val="30"/>
        </w:rPr>
        <w:t>开发商反驳：</w:t>
      </w:r>
      <w:r>
        <w:rPr>
          <w:rFonts w:ascii="仿宋" w:hAnsi="仿宋" w:eastAsia="仿宋"/>
          <w:b w:val="0"/>
          <w:sz w:val="30"/>
        </w:rPr>
        <w:t>同一集团投标是正常商业安排。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不作自动违法推论；结合赵力身份交叉审查是否可能影响公正。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8. </w:t>
      </w:r>
      <w:r>
        <w:rPr>
          <w:rFonts w:ascii="仿宋" w:hAnsi="仿宋" w:eastAsia="仿宋"/>
          <w:b/>
          <w:sz w:val="30"/>
        </w:rPr>
        <w:t>开发商反驳：</w:t>
      </w:r>
      <w:r>
        <w:rPr>
          <w:rFonts w:ascii="仿宋" w:hAnsi="仿宋" w:eastAsia="仿宋"/>
          <w:b w:val="0"/>
          <w:sz w:val="30"/>
        </w:rPr>
        <w:t>A/B/C是不同物业区域，资质面积不能相加。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要求以立项规划判断是否同一分期项目；地方规则关注项目开发总面积。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9. </w:t>
      </w:r>
      <w:r>
        <w:rPr>
          <w:rFonts w:ascii="仿宋" w:hAnsi="仿宋" w:eastAsia="仿宋"/>
          <w:b/>
          <w:sz w:val="30"/>
        </w:rPr>
        <w:t>开发商反驳：</w:t>
      </w:r>
      <w:r>
        <w:rPr>
          <w:rFonts w:ascii="仿宋" w:hAnsi="仿宋" w:eastAsia="仿宋"/>
          <w:b w:val="0"/>
          <w:sz w:val="30"/>
        </w:rPr>
        <w:t>招投标材料年代久远，找不到不能归责企业。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历史原因可解释缺失，但影响证明力；先查企业和机关是否有法定/惯常留存资料。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10. </w:t>
      </w:r>
      <w:r>
        <w:rPr>
          <w:rFonts w:ascii="仿宋" w:hAnsi="仿宋" w:eastAsia="仿宋"/>
          <w:b/>
          <w:sz w:val="30"/>
        </w:rPr>
        <w:t>开发商反驳：</w:t>
      </w:r>
      <w:r>
        <w:rPr>
          <w:rFonts w:ascii="仿宋" w:hAnsi="仿宋" w:eastAsia="仿宋"/>
          <w:b w:val="0"/>
          <w:sz w:val="30"/>
        </w:rPr>
        <w:t>地方规章和部门规章不能导致合同无效。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明确同意不当然无效；用其查事实，再结合行政法规和旧合同法判断后果。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11. </w:t>
      </w:r>
      <w:r>
        <w:rPr>
          <w:rFonts w:ascii="仿宋" w:hAnsi="仿宋" w:eastAsia="仿宋"/>
          <w:b/>
          <w:sz w:val="30"/>
        </w:rPr>
        <w:t>维持倾向法官反驳：</w:t>
      </w:r>
      <w:r>
        <w:rPr>
          <w:rFonts w:ascii="仿宋" w:hAnsi="仿宋" w:eastAsia="仿宋"/>
          <w:b w:val="0"/>
          <w:sz w:val="30"/>
        </w:rPr>
        <w:t>补正裁定只是笔误，二审可直接补充理由维持。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面积跨越30万界线且关联分期资质，属于可能改变结果的基本事实，不是纯理由瑕疵。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12. </w:t>
      </w:r>
      <w:r>
        <w:rPr>
          <w:rFonts w:ascii="仿宋" w:hAnsi="仿宋" w:eastAsia="仿宋"/>
          <w:b/>
          <w:sz w:val="30"/>
        </w:rPr>
        <w:t>维持倾向法官反驳：</w:t>
      </w:r>
      <w:r>
        <w:rPr>
          <w:rFonts w:ascii="仿宋" w:hAnsi="仿宋" w:eastAsia="仿宋"/>
          <w:b w:val="0"/>
          <w:sz w:val="30"/>
        </w:rPr>
        <w:t>第34条第一款要求两个条件，上诉人只证明了关联。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正因此请求调底卷，不请求仅凭关联认定无效；原判不能用未调取证据造成的缺口维持。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13. </w:t>
      </w:r>
      <w:r>
        <w:rPr>
          <w:rFonts w:ascii="仿宋" w:hAnsi="仿宋" w:eastAsia="仿宋"/>
          <w:b/>
          <w:sz w:val="30"/>
        </w:rPr>
        <w:t>维持倾向法官反驳：</w:t>
      </w:r>
      <w:r>
        <w:rPr>
          <w:rFonts w:ascii="仿宋" w:hAnsi="仿宋" w:eastAsia="仿宋"/>
          <w:b w:val="0"/>
          <w:sz w:val="30"/>
        </w:rPr>
        <w:t>行政判决已经认可总分公司安排。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行政案审查备案履职和程序条件，不直接裁判本案合同效力；授权原件仍需质证。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14. </w:t>
      </w:r>
      <w:r>
        <w:rPr>
          <w:rFonts w:ascii="仿宋" w:hAnsi="仿宋" w:eastAsia="仿宋"/>
          <w:b/>
          <w:sz w:val="30"/>
        </w:rPr>
        <w:t>维持倾向法官反驳：</w:t>
      </w:r>
      <w:r>
        <w:rPr>
          <w:rFonts w:ascii="仿宋" w:hAnsi="仿宋" w:eastAsia="仿宋"/>
          <w:b w:val="0"/>
          <w:sz w:val="30"/>
        </w:rPr>
        <w:t>即使有程序瑕疵，合同编通则解释第16条仍可认定有效。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第16条须先查清违规对象、程度、规范目的和替代责任；不能在事实未清时直接跳到结果。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 xml:space="preserve">15. </w:t>
      </w:r>
      <w:r>
        <w:rPr>
          <w:rFonts w:ascii="仿宋" w:hAnsi="仿宋" w:eastAsia="仿宋"/>
          <w:b/>
          <w:sz w:val="30"/>
        </w:rPr>
        <w:t>维持倾向法官反驳：</w:t>
      </w:r>
      <w:r>
        <w:rPr>
          <w:rFonts w:ascii="仿宋" w:hAnsi="仿宋" w:eastAsia="仿宋"/>
          <w:b w:val="0"/>
          <w:sz w:val="30"/>
        </w:rPr>
        <w:t>二审可自行查明，不必发回。</w:t>
      </w:r>
    </w:p>
    <w:p>
      <w:r>
        <w:rPr>
          <w:rFonts w:ascii="仿宋" w:hAnsi="仿宋" w:eastAsia="仿宋"/>
          <w:b/>
          <w:sz w:val="30"/>
        </w:rPr>
        <w:t>本版应答：</w:t>
      </w:r>
      <w:r>
        <w:rPr>
          <w:rFonts w:ascii="仿宋" w:hAnsi="仿宋" w:eastAsia="仿宋"/>
          <w:b w:val="0"/>
          <w:sz w:val="30"/>
        </w:rPr>
        <w:t>上诉人接受二审查明后改判；只有大量基本事实仍需调查、质证时才请求备位发回。</w:t>
      </w:r>
    </w:p>
    <w:p>
      <w:r>
        <w:rPr>
          <w:rFonts w:ascii="仿宋" w:hAnsi="仿宋" w:eastAsia="仿宋"/>
          <w:b/>
          <w:sz w:val="30"/>
        </w:rPr>
        <w:t>压力测试结论：</w:t>
      </w:r>
      <w:r>
        <w:rPr>
          <w:rFonts w:ascii="仿宋" w:hAnsi="仿宋" w:eastAsia="仿宋"/>
          <w:b w:val="0"/>
          <w:sz w:val="30"/>
        </w:rPr>
        <w:t>同时保留改判与发回，主动承认非自动无效，能承受十五项反驳；正式版采用。</w:t>
      </w:r>
    </w:p>
    <w:sectPr w:rsidR="00FC693F" w:rsidRPr="0006063C" w:rsidSect="00034616">
      <w:footerReference w:type="default" r:id="rId9"/>
      <w:pgSz w:w="11906" w:h="16838"/>
      <w:pgMar w:top="1587" w:right="1587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sz w:val="21"/>
      </w:rPr>
      <w:t xml:space="preserve">第 </w:t>
    </w:r>
    <w:fldSimple w:instr="PAGE">
      <w:r>
        <w:rPr>
          <w:rFonts w:eastAsia="宋体"/>
          <w:sz w:val="21"/>
        </w:rPr>
        <w:t>1</w:t>
      </w:r>
    </w:fldSimple>
    <w:r>
      <w:rPr>
        <w:rFonts w:ascii="宋体" w:hAnsi="宋体" w:eastAsia="宋体"/>
        <w:b w:val="0"/>
        <w:sz w:val="21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before="0" w:after="0"/>
      <w:ind w:firstLine="600"/>
    </w:pPr>
    <w:rPr>
      <w:rFonts w:ascii="仿宋" w:hAnsi="仿宋" w:eastAsia="仿宋"/>
      <w:sz w:val="3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360" w:lineRule="auto"/>
      <w:outlineLvl w:val="0"/>
    </w:pPr>
    <w:rPr>
      <w:rFonts w:asciiTheme="majorHAnsi" w:eastAsiaTheme="majorEastAsia" w:hAnsiTheme="majorHAnsi" w:cstheme="majorBidi" w:ascii="仿宋" w:hAnsi="仿宋" w:eastAsia="仿宋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360" w:lineRule="auto"/>
      <w:outlineLvl w:val="1"/>
    </w:pPr>
    <w:rPr>
      <w:rFonts w:asciiTheme="majorHAnsi" w:eastAsiaTheme="majorEastAsia" w:hAnsiTheme="majorHAnsi" w:cstheme="majorBidi" w:ascii="仿宋" w:hAnsi="仿宋" w:eastAsia="仿宋"/>
      <w:b/>
      <w:bCs/>
      <w:color w:val="4F81BD" w:themeColor="accent1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0" w:after="0" w:line="360" w:lineRule="auto"/>
      <w:outlineLvl w:val="2"/>
    </w:pPr>
    <w:rPr>
      <w:rFonts w:asciiTheme="majorHAnsi" w:eastAsiaTheme="majorEastAsia" w:hAnsiTheme="majorHAnsi" w:cstheme="majorBidi" w:ascii="仿宋" w:hAnsi="仿宋" w:eastAsia="仿宋"/>
      <w:b/>
      <w:bCs/>
      <w:color w:val="4F81BD" w:themeColor="accent1"/>
      <w:sz w:val="3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0" w:line="360" w:lineRule="auto" w:before="0"/>
      <w:contextualSpacing/>
    </w:pPr>
    <w:rPr>
      <w:rFonts w:asciiTheme="majorHAnsi" w:eastAsiaTheme="majorEastAsia" w:hAnsiTheme="majorHAnsi" w:cstheme="majorBidi" w:ascii="仿宋" w:hAnsi="仿宋" w:eastAsia="仿宋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李国平前期物业合同无效案二审材料</dc:subject>
  <dc:creator>李国平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