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责令被上诉人提交证据申请书</w:t>
      </w:r>
    </w:p>
    <w:p>
      <w:pPr>
        <w:spacing w:lineRule="exact" w:line="560" w:before="0" w:after="280"/>
        <w:jc w:val="center"/>
      </w:pPr>
      <w:r>
        <w:rPr>
          <w:rFonts w:ascii="仿宋" w:hAnsi="仿宋" w:eastAsia="仿宋" w:cs="仿宋"/>
          <w:b w:val="0"/>
          <w:sz w:val="26"/>
        </w:rPr>
        <w:t>（2026）湘01民终13074号</w:t>
      </w:r>
    </w:p>
    <w:p>
      <w:pPr>
        <w:spacing w:lineRule="exact" w:line="560" w:before="160" w:after="80"/>
      </w:pPr>
      <w:r>
        <w:rPr>
          <w:rFonts w:ascii="仿宋" w:hAnsi="仿宋" w:eastAsia="仿宋" w:cs="仿宋"/>
          <w:b/>
          <w:sz w:val="30"/>
        </w:rPr>
        <w:t>（书证提出命令申请）</w:t>
      </w:r>
    </w:p>
    <w:p>
      <w:pPr>
        <w:spacing w:lineRule="exact" w:line="560" w:before="40" w:after="40"/>
        <w:ind w:firstLine="600"/>
        <w:jc w:val="both"/>
      </w:pPr>
      <w:r>
        <w:rPr>
          <w:rFonts w:ascii="仿宋" w:hAnsi="仿宋" w:eastAsia="仿宋" w:cs="仿宋"/>
          <w:b/>
          <w:sz w:val="30"/>
        </w:rPr>
        <w:t>申 请 人（上诉人）：</w:t>
      </w:r>
      <w:r>
        <w:rPr>
          <w:rFonts w:ascii="仿宋" w:hAnsi="仿宋" w:eastAsia="仿宋" w:cs="仿宋"/>
          <w:b w:val="0"/>
          <w:sz w:val="30"/>
        </w:rPr>
        <w:t xml:space="preserve"> 李国平，男，1957年5月19日出生，汉族，户籍地湖南省长沙市开福区陡岭路4栋2门200房。</w:t>
      </w:r>
    </w:p>
    <w:p>
      <w:pPr>
        <w:spacing w:lineRule="exact" w:line="560" w:before="40" w:after="40"/>
        <w:ind w:firstLine="600"/>
        <w:jc w:val="both"/>
      </w:pPr>
      <w:r>
        <w:rPr>
          <w:rFonts w:ascii="仿宋" w:hAnsi="仿宋" w:eastAsia="仿宋" w:cs="仿宋"/>
          <w:b/>
          <w:sz w:val="30"/>
        </w:rPr>
        <w:t>被申请人（被上诉人）：</w:t>
      </w:r>
      <w:r>
        <w:rPr>
          <w:rFonts w:ascii="仿宋" w:hAnsi="仿宋" w:eastAsia="仿宋" w:cs="仿宋"/>
          <w:b w:val="0"/>
          <w:sz w:val="30"/>
        </w:rPr>
        <w:t xml:space="preserve"> 中铁建物业管理有限公司长沙分公司，住所地长沙市开福区秀峰路69号山语城会所3楼，负责人张鑫。</w:t>
      </w:r>
    </w:p>
    <w:p>
      <w:pPr>
        <w:spacing w:lineRule="exact" w:line="560" w:before="40" w:after="40"/>
        <w:ind w:firstLine="600"/>
        <w:jc w:val="both"/>
      </w:pPr>
      <w:r>
        <w:rPr>
          <w:rFonts w:ascii="仿宋" w:hAnsi="仿宋" w:eastAsia="仿宋" w:cs="仿宋"/>
          <w:b/>
          <w:sz w:val="30"/>
        </w:rPr>
        <w:t>被申请人（被上诉人）：</w:t>
      </w:r>
      <w:r>
        <w:rPr>
          <w:rFonts w:ascii="仿宋" w:hAnsi="仿宋" w:eastAsia="仿宋" w:cs="仿宋"/>
          <w:b w:val="0"/>
          <w:sz w:val="30"/>
        </w:rPr>
        <w:t xml:space="preserve"> 中铁房地产集团长沙置业有限公司，住所地长沙市开福区秀峰路69号山语城会所三楼，法定代表人周玉明。</w:t>
      </w:r>
    </w:p>
    <w:p>
      <w:pPr>
        <w:spacing w:lineRule="exact" w:line="560" w:before="40" w:after="40"/>
        <w:ind w:firstLine="600"/>
        <w:jc w:val="both"/>
      </w:pPr>
      <w:r>
        <w:rPr>
          <w:rFonts w:ascii="仿宋" w:hAnsi="仿宋" w:eastAsia="仿宋" w:cs="仿宋"/>
          <w:b/>
          <w:sz w:val="30"/>
        </w:rPr>
        <w:t>案　　由：</w:t>
      </w:r>
      <w:r>
        <w:rPr>
          <w:rFonts w:ascii="仿宋" w:hAnsi="仿宋" w:eastAsia="仿宋" w:cs="仿宋"/>
          <w:b w:val="0"/>
          <w:sz w:val="30"/>
        </w:rPr>
        <w:t xml:space="preserve"> 确认合同无效纠纷</w:t>
      </w:r>
    </w:p>
    <w:p>
      <w:pPr>
        <w:spacing w:lineRule="exact" w:line="560" w:before="40" w:after="40"/>
        <w:ind w:firstLine="600"/>
        <w:jc w:val="both"/>
      </w:pPr>
      <w:r>
        <w:rPr>
          <w:rFonts w:ascii="仿宋" w:hAnsi="仿宋" w:eastAsia="仿宋" w:cs="仿宋"/>
          <w:b/>
          <w:sz w:val="30"/>
        </w:rPr>
        <w:t>案　　号：</w:t>
      </w:r>
      <w:r>
        <w:rPr>
          <w:rFonts w:ascii="仿宋" w:hAnsi="仿宋" w:eastAsia="仿宋" w:cs="仿宋"/>
          <w:b w:val="0"/>
          <w:sz w:val="30"/>
        </w:rPr>
        <w:t xml:space="preserve"> （2026）湘01民终13074号</w:t>
      </w:r>
    </w:p>
    <w:p>
      <w:pPr>
        <w:spacing w:lineRule="exact" w:line="560" w:before="160" w:after="80"/>
      </w:pPr>
      <w:r>
        <w:rPr>
          <w:rFonts w:ascii="仿宋" w:hAnsi="仿宋" w:eastAsia="仿宋" w:cs="仿宋"/>
          <w:b/>
          <w:sz w:val="30"/>
        </w:rPr>
        <w:t>申请事项</w:t>
      </w:r>
    </w:p>
    <w:p>
      <w:pPr>
        <w:spacing w:lineRule="exact" w:line="560" w:before="40" w:after="40"/>
        <w:ind w:firstLine="600"/>
        <w:jc w:val="both"/>
      </w:pPr>
      <w:r>
        <w:rPr>
          <w:rFonts w:ascii="仿宋" w:hAnsi="仿宋" w:eastAsia="仿宋" w:cs="仿宋"/>
          <w:b w:val="0"/>
          <w:sz w:val="30"/>
        </w:rPr>
        <w:t>依据《最高人民法院关于适用〈中华人民共和国民事诉讼法〉的解释》第一百一十二条、《最高人民法院关于民事诉讼证据的若干规定》第四十五条至第四十八条之规定，申请人民法院责令被上诉人提交下列由其控制的书证；无正当理由拒不提交的，请求依《最高人民法院关于民事诉讼证据的若干规定》第九十五条作出相应认定。</w:t>
      </w:r>
    </w:p>
    <w:tbl>
      <w:tblPr>
        <w:tblW w:type="auto" w:w="0"/>
        <w:jc w:val="center"/>
        <w:tblLayout w:type="autofit"/>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183"/>
        <w:gridCol w:w="2183"/>
        <w:gridCol w:w="2183"/>
        <w:gridCol w:w="2183"/>
      </w:tblGrid>
      <w:tr>
        <w:tc>
          <w:tcPr>
            <w:tcW w:type="dxa" w:w="2183"/>
          </w:tcPr>
          <w:p>
            <w:pPr>
              <w:spacing w:lineRule="auto" w:line="240" w:before="20" w:after="20"/>
            </w:pPr>
            <w:r/>
            <w:r>
              <w:rPr>
                <w:rFonts w:ascii="仿宋" w:hAnsi="仿宋" w:eastAsia="仿宋" w:cs="仿宋"/>
                <w:b/>
                <w:sz w:val="21"/>
              </w:rPr>
              <w:t>序号</w:t>
            </w:r>
          </w:p>
        </w:tc>
        <w:tc>
          <w:tcPr>
            <w:tcW w:type="dxa" w:w="2183"/>
          </w:tcPr>
          <w:p>
            <w:pPr>
              <w:spacing w:lineRule="auto" w:line="240" w:before="20" w:after="20"/>
            </w:pPr>
            <w:r/>
            <w:r>
              <w:rPr>
                <w:rFonts w:ascii="仿宋" w:hAnsi="仿宋" w:eastAsia="仿宋" w:cs="仿宋"/>
                <w:b/>
                <w:sz w:val="21"/>
              </w:rPr>
              <w:t>请求提交的书证</w:t>
            </w:r>
          </w:p>
        </w:tc>
        <w:tc>
          <w:tcPr>
            <w:tcW w:type="dxa" w:w="2183"/>
          </w:tcPr>
          <w:p>
            <w:pPr>
              <w:spacing w:lineRule="auto" w:line="240" w:before="20" w:after="20"/>
            </w:pPr>
            <w:r/>
            <w:r>
              <w:rPr>
                <w:rFonts w:ascii="仿宋" w:hAnsi="仿宋" w:eastAsia="仿宋" w:cs="仿宋"/>
                <w:b/>
                <w:sz w:val="21"/>
              </w:rPr>
              <w:t>控制方</w:t>
            </w:r>
          </w:p>
        </w:tc>
        <w:tc>
          <w:tcPr>
            <w:tcW w:type="dxa" w:w="2183"/>
          </w:tcPr>
          <w:p>
            <w:pPr>
              <w:spacing w:lineRule="auto" w:line="240" w:before="20" w:after="20"/>
            </w:pPr>
            <w:r/>
            <w:r>
              <w:rPr>
                <w:rFonts w:ascii="仿宋" w:hAnsi="仿宋" w:eastAsia="仿宋" w:cs="仿宋"/>
                <w:b/>
                <w:sz w:val="21"/>
              </w:rPr>
              <w:t>待证事实</w:t>
            </w:r>
          </w:p>
        </w:tc>
      </w:tr>
      <w:tr>
        <w:tc>
          <w:tcPr>
            <w:tcW w:type="dxa" w:w="2183"/>
          </w:tcPr>
          <w:p>
            <w:pPr>
              <w:spacing w:lineRule="auto" w:line="240" w:before="20" w:after="20"/>
            </w:pPr>
            <w:r/>
            <w:r>
              <w:rPr>
                <w:rFonts w:ascii="仿宋" w:hAnsi="仿宋" w:eastAsia="仿宋" w:cs="仿宋"/>
                <w:b w:val="0"/>
                <w:sz w:val="21"/>
              </w:rPr>
              <w:t>1</w:t>
            </w:r>
          </w:p>
        </w:tc>
        <w:tc>
          <w:tcPr>
            <w:tcW w:type="dxa" w:w="2183"/>
          </w:tcPr>
          <w:p>
            <w:pPr>
              <w:spacing w:lineRule="auto" w:line="240" w:before="20" w:after="20"/>
            </w:pPr>
            <w:r/>
            <w:r>
              <w:rPr>
                <w:rFonts w:ascii="仿宋" w:hAnsi="仿宋" w:eastAsia="仿宋" w:cs="仿宋"/>
                <w:b w:val="0"/>
                <w:sz w:val="21"/>
              </w:rPr>
              <w:t>中国铁建·山语城三期</w:t>
            </w:r>
            <w:r>
              <w:rPr>
                <w:rFonts w:ascii="仿宋" w:hAnsi="仿宋" w:eastAsia="仿宋" w:cs="仿宋"/>
                <w:b/>
                <w:sz w:val="21"/>
              </w:rPr>
              <w:t>A区</w:t>
            </w:r>
            <w:r>
              <w:rPr>
                <w:rFonts w:ascii="仿宋" w:hAnsi="仿宋" w:eastAsia="仿宋" w:cs="仿宋"/>
                <w:b w:val="0"/>
                <w:sz w:val="21"/>
              </w:rPr>
              <w:t>前期物业管理招投标的</w:t>
            </w:r>
            <w:r>
              <w:rPr>
                <w:rFonts w:ascii="仿宋" w:hAnsi="仿宋" w:eastAsia="仿宋" w:cs="仿宋"/>
                <w:b/>
                <w:sz w:val="21"/>
              </w:rPr>
              <w:t>评标报告（含评分表）、中标单位投标书、中标通知书</w:t>
            </w:r>
          </w:p>
        </w:tc>
        <w:tc>
          <w:tcPr>
            <w:tcW w:type="dxa" w:w="2183"/>
          </w:tcPr>
          <w:p>
            <w:pPr>
              <w:spacing w:lineRule="auto" w:line="240" w:before="20" w:after="20"/>
            </w:pPr>
            <w:r/>
            <w:r>
              <w:rPr>
                <w:rFonts w:ascii="仿宋" w:hAnsi="仿宋" w:eastAsia="仿宋" w:cs="仿宋"/>
                <w:b w:val="0"/>
                <w:sz w:val="21"/>
              </w:rPr>
              <w:t>被上诉人二（报送方）、被上诉人一</w:t>
            </w:r>
          </w:p>
        </w:tc>
        <w:tc>
          <w:tcPr>
            <w:tcW w:type="dxa" w:w="2183"/>
          </w:tcPr>
          <w:p>
            <w:pPr>
              <w:spacing w:lineRule="auto" w:line="240" w:before="20" w:after="20"/>
            </w:pPr>
            <w:r/>
            <w:r>
              <w:rPr>
                <w:rFonts w:ascii="仿宋" w:hAnsi="仿宋" w:eastAsia="仿宋" w:cs="仿宋"/>
                <w:b w:val="0"/>
                <w:sz w:val="21"/>
              </w:rPr>
              <w:t>2014年A区招投标是否存在真实竞争；评标过程有无回避与信息隔离安排</w:t>
            </w:r>
          </w:p>
        </w:tc>
      </w:tr>
      <w:tr>
        <w:tc>
          <w:tcPr>
            <w:tcW w:type="dxa" w:w="2183"/>
          </w:tcPr>
          <w:p>
            <w:pPr>
              <w:spacing w:lineRule="auto" w:line="240" w:before="20" w:after="20"/>
            </w:pPr>
            <w:r/>
            <w:r>
              <w:rPr>
                <w:rFonts w:ascii="仿宋" w:hAnsi="仿宋" w:eastAsia="仿宋" w:cs="仿宋"/>
                <w:b w:val="0"/>
                <w:sz w:val="21"/>
              </w:rPr>
              <w:t>2</w:t>
            </w:r>
          </w:p>
        </w:tc>
        <w:tc>
          <w:tcPr>
            <w:tcW w:type="dxa" w:w="2183"/>
          </w:tcPr>
          <w:p>
            <w:pPr>
              <w:spacing w:lineRule="auto" w:line="240" w:before="20" w:after="20"/>
            </w:pPr>
            <w:r/>
            <w:r>
              <w:rPr>
                <w:rFonts w:ascii="仿宋" w:hAnsi="仿宋" w:eastAsia="仿宋" w:cs="仿宋"/>
                <w:b w:val="0"/>
                <w:sz w:val="21"/>
              </w:rPr>
              <w:t>中国铁建·山语城三期</w:t>
            </w:r>
            <w:r>
              <w:rPr>
                <w:rFonts w:ascii="仿宋" w:hAnsi="仿宋" w:eastAsia="仿宋" w:cs="仿宋"/>
                <w:b/>
                <w:sz w:val="21"/>
              </w:rPr>
              <w:t>B、C区</w:t>
            </w:r>
            <w:r>
              <w:rPr>
                <w:rFonts w:ascii="仿宋" w:hAnsi="仿宋" w:eastAsia="仿宋" w:cs="仿宋"/>
                <w:b w:val="0"/>
                <w:sz w:val="21"/>
              </w:rPr>
              <w:t>前期物业管理招投标的</w:t>
            </w:r>
            <w:r>
              <w:rPr>
                <w:rFonts w:ascii="仿宋" w:hAnsi="仿宋" w:eastAsia="仿宋" w:cs="仿宋"/>
                <w:b/>
                <w:sz w:val="21"/>
              </w:rPr>
              <w:t>评标报告（含评分表）、投标文件、中标通知书、投标人名单</w:t>
            </w:r>
          </w:p>
        </w:tc>
        <w:tc>
          <w:tcPr>
            <w:tcW w:type="dxa" w:w="2183"/>
          </w:tcPr>
          <w:p>
            <w:pPr>
              <w:spacing w:lineRule="auto" w:line="240" w:before="20" w:after="20"/>
            </w:pPr>
            <w:r/>
            <w:r>
              <w:rPr>
                <w:rFonts w:ascii="仿宋" w:hAnsi="仿宋" w:eastAsia="仿宋" w:cs="仿宋"/>
                <w:b w:val="0"/>
                <w:sz w:val="21"/>
              </w:rPr>
              <w:t>同上</w:t>
            </w:r>
          </w:p>
        </w:tc>
        <w:tc>
          <w:tcPr>
            <w:tcW w:type="dxa" w:w="2183"/>
          </w:tcPr>
          <w:p>
            <w:pPr>
              <w:spacing w:lineRule="auto" w:line="240" w:before="20" w:after="20"/>
            </w:pPr>
            <w:r/>
            <w:r>
              <w:rPr>
                <w:rFonts w:ascii="仿宋" w:hAnsi="仿宋" w:eastAsia="仿宋" w:cs="仿宋"/>
                <w:b w:val="0"/>
                <w:sz w:val="21"/>
              </w:rPr>
              <w:t>2016年B、C区招投标是否存在真实竞争；"综合评分91.4"的构成</w:t>
            </w:r>
          </w:p>
        </w:tc>
      </w:tr>
      <w:tr>
        <w:tc>
          <w:tcPr>
            <w:tcW w:type="dxa" w:w="2183"/>
          </w:tcPr>
          <w:p>
            <w:pPr>
              <w:spacing w:lineRule="auto" w:line="240" w:before="20" w:after="20"/>
            </w:pPr>
            <w:r/>
            <w:r>
              <w:rPr>
                <w:rFonts w:ascii="仿宋" w:hAnsi="仿宋" w:eastAsia="仿宋" w:cs="仿宋"/>
                <w:b w:val="0"/>
                <w:sz w:val="21"/>
              </w:rPr>
              <w:t>3</w:t>
            </w:r>
          </w:p>
        </w:tc>
        <w:tc>
          <w:tcPr>
            <w:tcW w:type="dxa" w:w="2183"/>
          </w:tcPr>
          <w:p>
            <w:pPr>
              <w:spacing w:lineRule="auto" w:line="240" w:before="20" w:after="20"/>
            </w:pPr>
            <w:r/>
            <w:r>
              <w:rPr>
                <w:rFonts w:ascii="仿宋" w:hAnsi="仿宋" w:eastAsia="仿宋" w:cs="仿宋"/>
                <w:b/>
                <w:sz w:val="21"/>
              </w:rPr>
              <w:t>中铁建（北京）物业管理有限公司在2014年4月、2016年4月投标当日持有的物业服务企业资质证书原件</w:t>
            </w:r>
            <w:r>
              <w:rPr>
                <w:rFonts w:ascii="仿宋" w:hAnsi="仿宋" w:eastAsia="仿宋" w:cs="仿宋"/>
                <w:b w:val="0"/>
                <w:sz w:val="21"/>
              </w:rPr>
              <w:t>（含（建）114060号证书及其等级核准文件）</w:t>
            </w:r>
          </w:p>
        </w:tc>
        <w:tc>
          <w:tcPr>
            <w:tcW w:type="dxa" w:w="2183"/>
          </w:tcPr>
          <w:p>
            <w:pPr>
              <w:spacing w:lineRule="auto" w:line="240" w:before="20" w:after="20"/>
            </w:pPr>
            <w:r/>
            <w:r>
              <w:rPr>
                <w:rFonts w:ascii="仿宋" w:hAnsi="仿宋" w:eastAsia="仿宋" w:cs="仿宋"/>
                <w:b w:val="0"/>
                <w:sz w:val="21"/>
              </w:rPr>
              <w:t>被上诉人一</w:t>
            </w:r>
          </w:p>
        </w:tc>
        <w:tc>
          <w:tcPr>
            <w:tcW w:type="dxa" w:w="2183"/>
          </w:tcPr>
          <w:p>
            <w:pPr>
              <w:spacing w:lineRule="auto" w:line="240" w:before="20" w:after="20"/>
            </w:pPr>
            <w:r/>
            <w:r>
              <w:rPr>
                <w:rFonts w:ascii="仿宋" w:hAnsi="仿宋" w:eastAsia="仿宋" w:cs="仿宋"/>
                <w:b w:val="0"/>
                <w:sz w:val="21"/>
              </w:rPr>
              <w:t>投标当日实际资质等级；与B、C区合同封面所载"一级"、与政府备案证明所载"二级"何者为准</w:t>
            </w:r>
          </w:p>
        </w:tc>
      </w:tr>
      <w:tr>
        <w:tc>
          <w:tcPr>
            <w:tcW w:type="dxa" w:w="2183"/>
          </w:tcPr>
          <w:p>
            <w:pPr>
              <w:spacing w:lineRule="auto" w:line="240" w:before="20" w:after="20"/>
            </w:pPr>
            <w:r/>
            <w:r>
              <w:rPr>
                <w:rFonts w:ascii="仿宋" w:hAnsi="仿宋" w:eastAsia="仿宋" w:cs="仿宋"/>
                <w:b w:val="0"/>
                <w:sz w:val="21"/>
              </w:rPr>
              <w:t>4</w:t>
            </w:r>
          </w:p>
        </w:tc>
        <w:tc>
          <w:tcPr>
            <w:tcW w:type="dxa" w:w="2183"/>
          </w:tcPr>
          <w:p>
            <w:pPr>
              <w:spacing w:lineRule="auto" w:line="240" w:before="20" w:after="20"/>
            </w:pPr>
            <w:r/>
            <w:r>
              <w:rPr>
                <w:rFonts w:ascii="仿宋" w:hAnsi="仿宋" w:eastAsia="仿宋" w:cs="仿宋"/>
                <w:b/>
                <w:sz w:val="21"/>
              </w:rPr>
              <w:t>总公司授权长沙分公司承接案涉中标项目、签订案涉两份前期物业服务合同的书面授权文件</w:t>
            </w:r>
            <w:r>
              <w:rPr>
                <w:rFonts w:ascii="仿宋" w:hAnsi="仿宋" w:eastAsia="仿宋" w:cs="仿宋"/>
                <w:b w:val="0"/>
                <w:sz w:val="21"/>
              </w:rPr>
              <w:t>；如无授权文件，请书面说明</w:t>
            </w:r>
          </w:p>
        </w:tc>
        <w:tc>
          <w:tcPr>
            <w:tcW w:type="dxa" w:w="2183"/>
          </w:tcPr>
          <w:p>
            <w:pPr>
              <w:spacing w:lineRule="auto" w:line="240" w:before="20" w:after="20"/>
            </w:pPr>
            <w:r/>
            <w:r>
              <w:rPr>
                <w:rFonts w:ascii="仿宋" w:hAnsi="仿宋" w:eastAsia="仿宋" w:cs="仿宋"/>
                <w:b w:val="0"/>
                <w:sz w:val="21"/>
              </w:rPr>
              <w:t>被上诉人一</w:t>
            </w:r>
          </w:p>
        </w:tc>
        <w:tc>
          <w:tcPr>
            <w:tcW w:type="dxa" w:w="2183"/>
          </w:tcPr>
          <w:p>
            <w:pPr>
              <w:spacing w:lineRule="auto" w:line="240" w:before="20" w:after="20"/>
            </w:pPr>
            <w:r/>
            <w:r>
              <w:rPr>
                <w:rFonts w:ascii="仿宋" w:hAnsi="仿宋" w:eastAsia="仿宋" w:cs="仿宋"/>
                <w:b w:val="0"/>
                <w:sz w:val="21"/>
              </w:rPr>
              <w:t>中标人为总公司而合同乙方为长沙分公司，主体变更的依据</w:t>
            </w:r>
          </w:p>
        </w:tc>
      </w:tr>
      <w:tr>
        <w:tc>
          <w:tcPr>
            <w:tcW w:type="dxa" w:w="2183"/>
          </w:tcPr>
          <w:p>
            <w:pPr>
              <w:spacing w:lineRule="auto" w:line="240" w:before="20" w:after="20"/>
            </w:pPr>
            <w:r/>
            <w:r>
              <w:rPr>
                <w:rFonts w:ascii="仿宋" w:hAnsi="仿宋" w:eastAsia="仿宋" w:cs="仿宋"/>
                <w:b w:val="0"/>
                <w:sz w:val="21"/>
              </w:rPr>
              <w:t>5</w:t>
            </w:r>
          </w:p>
        </w:tc>
        <w:tc>
          <w:tcPr>
            <w:tcW w:type="dxa" w:w="2183"/>
          </w:tcPr>
          <w:p>
            <w:pPr>
              <w:spacing w:lineRule="auto" w:line="240" w:before="20" w:after="20"/>
            </w:pPr>
            <w:r/>
            <w:r>
              <w:rPr>
                <w:rFonts w:ascii="仿宋" w:hAnsi="仿宋" w:eastAsia="仿宋" w:cs="仿宋"/>
                <w:b/>
                <w:sz w:val="21"/>
              </w:rPr>
              <w:t>建设单位同意由长沙分公司替代中标人签约的书面材料</w:t>
            </w:r>
            <w:r>
              <w:rPr>
                <w:rFonts w:ascii="仿宋" w:hAnsi="仿宋" w:eastAsia="仿宋" w:cs="仿宋"/>
                <w:b w:val="0"/>
                <w:sz w:val="21"/>
              </w:rPr>
              <w:t>；如无，请书面说明</w:t>
            </w:r>
          </w:p>
        </w:tc>
        <w:tc>
          <w:tcPr>
            <w:tcW w:type="dxa" w:w="2183"/>
          </w:tcPr>
          <w:p>
            <w:pPr>
              <w:spacing w:lineRule="auto" w:line="240" w:before="20" w:after="20"/>
            </w:pPr>
            <w:r/>
            <w:r>
              <w:rPr>
                <w:rFonts w:ascii="仿宋" w:hAnsi="仿宋" w:eastAsia="仿宋" w:cs="仿宋"/>
                <w:b w:val="0"/>
                <w:sz w:val="21"/>
              </w:rPr>
              <w:t>被上诉人二</w:t>
            </w:r>
          </w:p>
        </w:tc>
        <w:tc>
          <w:tcPr>
            <w:tcW w:type="dxa" w:w="2183"/>
          </w:tcPr>
          <w:p>
            <w:pPr>
              <w:spacing w:lineRule="auto" w:line="240" w:before="20" w:after="20"/>
            </w:pPr>
            <w:r/>
            <w:r>
              <w:rPr>
                <w:rFonts w:ascii="仿宋" w:hAnsi="仿宋" w:eastAsia="仿宋" w:cs="仿宋"/>
                <w:b w:val="0"/>
                <w:sz w:val="21"/>
              </w:rPr>
              <w:t>同上</w:t>
            </w:r>
          </w:p>
        </w:tc>
      </w:tr>
      <w:tr>
        <w:tc>
          <w:tcPr>
            <w:tcW w:type="dxa" w:w="2183"/>
          </w:tcPr>
          <w:p>
            <w:pPr>
              <w:spacing w:lineRule="auto" w:line="240" w:before="20" w:after="20"/>
            </w:pPr>
            <w:r/>
            <w:r>
              <w:rPr>
                <w:rFonts w:ascii="仿宋" w:hAnsi="仿宋" w:eastAsia="仿宋" w:cs="仿宋"/>
                <w:b w:val="0"/>
                <w:sz w:val="21"/>
              </w:rPr>
              <w:t>6</w:t>
            </w:r>
          </w:p>
        </w:tc>
        <w:tc>
          <w:tcPr>
            <w:tcW w:type="dxa" w:w="2183"/>
          </w:tcPr>
          <w:p>
            <w:pPr>
              <w:spacing w:lineRule="auto" w:line="240" w:before="20" w:after="20"/>
            </w:pPr>
            <w:r/>
            <w:r>
              <w:rPr>
                <w:rFonts w:ascii="仿宋" w:hAnsi="仿宋" w:eastAsia="仿宋" w:cs="仿宋"/>
                <w:b/>
                <w:sz w:val="21"/>
              </w:rPr>
              <w:t>B、C区前期物业服务合同（合同编号CRCC-CSZY-SYC-WY-2016-049）签约日期为2016年5月31日与2016年8月31日的两份完整原件</w:t>
            </w:r>
          </w:p>
        </w:tc>
        <w:tc>
          <w:tcPr>
            <w:tcW w:type="dxa" w:w="2183"/>
          </w:tcPr>
          <w:p>
            <w:pPr>
              <w:spacing w:lineRule="auto" w:line="240" w:before="20" w:after="20"/>
            </w:pPr>
            <w:r/>
            <w:r>
              <w:rPr>
                <w:rFonts w:ascii="仿宋" w:hAnsi="仿宋" w:eastAsia="仿宋" w:cs="仿宋"/>
                <w:b w:val="0"/>
                <w:sz w:val="21"/>
              </w:rPr>
              <w:t>被上诉人一、二</w:t>
            </w:r>
          </w:p>
        </w:tc>
        <w:tc>
          <w:tcPr>
            <w:tcW w:type="dxa" w:w="2183"/>
          </w:tcPr>
          <w:p>
            <w:pPr>
              <w:spacing w:lineRule="auto" w:line="240" w:before="20" w:after="20"/>
            </w:pPr>
            <w:r/>
            <w:r>
              <w:rPr>
                <w:rFonts w:ascii="仿宋" w:hAnsi="仿宋" w:eastAsia="仿宋" w:cs="仿宋"/>
                <w:b w:val="0"/>
                <w:sz w:val="21"/>
              </w:rPr>
              <w:t>效力审查的对象文本；两份文本的关系；报送政府备案的是哪一份</w:t>
            </w:r>
          </w:p>
        </w:tc>
      </w:tr>
      <w:tr>
        <w:tc>
          <w:tcPr>
            <w:tcW w:type="dxa" w:w="2183"/>
          </w:tcPr>
          <w:p>
            <w:pPr>
              <w:spacing w:lineRule="auto" w:line="240" w:before="20" w:after="20"/>
            </w:pPr>
            <w:r/>
            <w:r>
              <w:rPr>
                <w:rFonts w:ascii="仿宋" w:hAnsi="仿宋" w:eastAsia="仿宋" w:cs="仿宋"/>
                <w:b w:val="0"/>
                <w:sz w:val="21"/>
              </w:rPr>
              <w:t>7</w:t>
            </w:r>
          </w:p>
        </w:tc>
        <w:tc>
          <w:tcPr>
            <w:tcW w:type="dxa" w:w="2183"/>
          </w:tcPr>
          <w:p>
            <w:pPr>
              <w:spacing w:lineRule="auto" w:line="240" w:before="20" w:after="20"/>
            </w:pPr>
            <w:r/>
            <w:r>
              <w:rPr>
                <w:rFonts w:ascii="仿宋" w:hAnsi="仿宋" w:eastAsia="仿宋" w:cs="仿宋"/>
                <w:b/>
                <w:sz w:val="21"/>
              </w:rPr>
              <w:t>A区前期物业服务合同完整原件</w:t>
            </w:r>
            <w:r>
              <w:rPr>
                <w:rFonts w:ascii="仿宋" w:hAnsi="仿宋" w:eastAsia="仿宋" w:cs="仿宋"/>
                <w:b w:val="0"/>
                <w:sz w:val="21"/>
              </w:rPr>
              <w:t>（含扉页、签署页及全部附件）</w:t>
            </w:r>
          </w:p>
        </w:tc>
        <w:tc>
          <w:tcPr>
            <w:tcW w:type="dxa" w:w="2183"/>
          </w:tcPr>
          <w:p>
            <w:pPr>
              <w:spacing w:lineRule="auto" w:line="240" w:before="20" w:after="20"/>
            </w:pPr>
            <w:r/>
            <w:r>
              <w:rPr>
                <w:rFonts w:ascii="仿宋" w:hAnsi="仿宋" w:eastAsia="仿宋" w:cs="仿宋"/>
                <w:b w:val="0"/>
                <w:sz w:val="21"/>
              </w:rPr>
              <w:t>同上</w:t>
            </w:r>
          </w:p>
        </w:tc>
        <w:tc>
          <w:tcPr>
            <w:tcW w:type="dxa" w:w="2183"/>
          </w:tcPr>
          <w:p>
            <w:pPr>
              <w:spacing w:lineRule="auto" w:line="240" w:before="20" w:after="20"/>
            </w:pPr>
            <w:r/>
            <w:r>
              <w:rPr>
                <w:rFonts w:ascii="仿宋" w:hAnsi="仿宋" w:eastAsia="仿宋" w:cs="仿宋"/>
                <w:b w:val="0"/>
                <w:sz w:val="21"/>
              </w:rPr>
              <w:t>合同载明的资质等级、服务范围与面积</w:t>
            </w:r>
          </w:p>
        </w:tc>
      </w:tr>
      <w:tr>
        <w:tc>
          <w:tcPr>
            <w:tcW w:type="dxa" w:w="2183"/>
          </w:tcPr>
          <w:p>
            <w:pPr>
              <w:spacing w:lineRule="auto" w:line="240" w:before="20" w:after="20"/>
            </w:pPr>
            <w:r/>
            <w:r>
              <w:rPr>
                <w:rFonts w:ascii="仿宋" w:hAnsi="仿宋" w:eastAsia="仿宋" w:cs="仿宋"/>
                <w:b w:val="0"/>
                <w:sz w:val="21"/>
              </w:rPr>
              <w:t>8</w:t>
            </w:r>
          </w:p>
        </w:tc>
        <w:tc>
          <w:tcPr>
            <w:tcW w:type="dxa" w:w="2183"/>
          </w:tcPr>
          <w:p>
            <w:pPr>
              <w:spacing w:lineRule="auto" w:line="240" w:before="20" w:after="20"/>
            </w:pPr>
            <w:r/>
            <w:r>
              <w:rPr>
                <w:rFonts w:ascii="仿宋" w:hAnsi="仿宋" w:eastAsia="仿宋" w:cs="仿宋"/>
                <w:b/>
                <w:sz w:val="21"/>
              </w:rPr>
              <w:t>案涉物业费收取主体的收费凭证、发票及收款银行账户信息</w:t>
            </w:r>
          </w:p>
        </w:tc>
        <w:tc>
          <w:tcPr>
            <w:tcW w:type="dxa" w:w="2183"/>
          </w:tcPr>
          <w:p>
            <w:pPr>
              <w:spacing w:lineRule="auto" w:line="240" w:before="20" w:after="20"/>
            </w:pPr>
            <w:r/>
            <w:r>
              <w:rPr>
                <w:rFonts w:ascii="仿宋" w:hAnsi="仿宋" w:eastAsia="仿宋" w:cs="仿宋"/>
                <w:b w:val="0"/>
                <w:sz w:val="21"/>
              </w:rPr>
              <w:t>被上诉人一</w:t>
            </w:r>
          </w:p>
        </w:tc>
        <w:tc>
          <w:tcPr>
            <w:tcW w:type="dxa" w:w="2183"/>
          </w:tcPr>
          <w:p>
            <w:pPr>
              <w:spacing w:lineRule="auto" w:line="240" w:before="20" w:after="20"/>
            </w:pPr>
            <w:r/>
            <w:r>
              <w:rPr>
                <w:rFonts w:ascii="仿宋" w:hAnsi="仿宋" w:eastAsia="仿宋" w:cs="仿宋"/>
                <w:b w:val="0"/>
                <w:sz w:val="21"/>
              </w:rPr>
              <w:t>依据案涉合同实际向业主收取物业费的主体</w:t>
            </w:r>
          </w:p>
        </w:tc>
      </w:tr>
    </w:tbl>
    <w:p/>
    <w:p>
      <w:pPr>
        <w:spacing w:lineRule="exact" w:line="560" w:before="160" w:after="80"/>
      </w:pPr>
      <w:r>
        <w:rPr>
          <w:rFonts w:ascii="仿宋" w:hAnsi="仿宋" w:eastAsia="仿宋" w:cs="仿宋"/>
          <w:b/>
          <w:sz w:val="30"/>
        </w:rPr>
        <w:t>事实与理由</w:t>
      </w:r>
    </w:p>
    <w:p>
      <w:pPr>
        <w:spacing w:lineRule="exact" w:line="560" w:before="160" w:after="80"/>
      </w:pPr>
      <w:r>
        <w:rPr>
          <w:rFonts w:ascii="仿宋" w:hAnsi="仿宋" w:eastAsia="仿宋" w:cs="仿宋"/>
          <w:b/>
          <w:sz w:val="30"/>
        </w:rPr>
        <w:t>一、上述书证客观存在，且由被上诉人控制</w:t>
      </w:r>
    </w:p>
    <w:p>
      <w:pPr>
        <w:spacing w:lineRule="exact" w:line="560" w:before="40" w:after="40"/>
        <w:ind w:firstLine="600"/>
        <w:jc w:val="both"/>
      </w:pPr>
      <w:r>
        <w:rPr>
          <w:rFonts w:ascii="仿宋" w:hAnsi="仿宋" w:eastAsia="仿宋" w:cs="仿宋"/>
          <w:b/>
          <w:sz w:val="30"/>
        </w:rPr>
        <w:t>（一）第1、2项书证客观存在，已有卷内证据直接证明。</w:t>
      </w:r>
    </w:p>
    <w:p>
      <w:pPr>
        <w:spacing w:lineRule="exact" w:line="560" w:before="40" w:after="40"/>
        <w:ind w:firstLine="600"/>
        <w:jc w:val="both"/>
      </w:pPr>
      <w:r>
        <w:rPr>
          <w:rFonts w:ascii="仿宋" w:hAnsi="仿宋" w:eastAsia="仿宋" w:cs="仿宋"/>
          <w:b w:val="0"/>
          <w:sz w:val="30"/>
        </w:rPr>
        <w:t>A区《长沙市前期物业管理招投标备案表》勾选栏明确载明：</w:t>
      </w:r>
      <w:r>
        <w:rPr>
          <w:rFonts w:ascii="仿宋" w:hAnsi="仿宋" w:eastAsia="仿宋" w:cs="仿宋"/>
          <w:b/>
          <w:sz w:val="30"/>
        </w:rPr>
        <w:t>评标报告（含评分表）、中标单位投标书、中标通知书均已随附报送备案</w:t>
      </w:r>
      <w:r>
        <w:rPr>
          <w:rFonts w:ascii="仿宋" w:hAnsi="仿宋" w:eastAsia="仿宋" w:cs="仿宋"/>
          <w:b w:val="0"/>
          <w:sz w:val="30"/>
        </w:rPr>
        <w:t>。该记载证明上述三份文件在2014年办理备案时客观存在，且系由建设单位（被上诉人二）报送。依常理及企业档案管理惯例，报送方必然自持副本。</w:t>
      </w:r>
    </w:p>
    <w:p>
      <w:pPr>
        <w:spacing w:lineRule="exact" w:line="560" w:before="40" w:after="40"/>
        <w:ind w:firstLine="600"/>
        <w:jc w:val="both"/>
      </w:pPr>
      <w:r>
        <w:rPr>
          <w:rFonts w:ascii="仿宋" w:hAnsi="仿宋" w:eastAsia="仿宋" w:cs="仿宋"/>
          <w:b/>
          <w:sz w:val="30"/>
        </w:rPr>
        <w:t>（二）行政机关未能检索到，不能免除被上诉人的提出义务。</w:t>
      </w:r>
    </w:p>
    <w:p>
      <w:pPr>
        <w:spacing w:lineRule="exact" w:line="560" w:before="40" w:after="40"/>
        <w:ind w:firstLine="600"/>
        <w:jc w:val="both"/>
      </w:pPr>
      <w:r>
        <w:rPr>
          <w:rFonts w:ascii="仿宋" w:hAnsi="仿宋" w:eastAsia="仿宋" w:cs="仿宋"/>
          <w:b w:val="0"/>
          <w:sz w:val="30"/>
        </w:rPr>
        <w:t>长沙市住房和城乡建设局曾书面答复称全套招投标材料因资料室搬迁遗失。该答复</w:t>
      </w:r>
      <w:r>
        <w:rPr>
          <w:rFonts w:ascii="仿宋" w:hAnsi="仿宋" w:eastAsia="仿宋" w:cs="仿宋"/>
          <w:b/>
          <w:sz w:val="30"/>
        </w:rPr>
        <w:t>仅能说明行政机关的检索结果，不能证明该等文件自始不存在，更不能免除被上诉人对其自身经营档案的提出义务</w:t>
      </w:r>
      <w:r>
        <w:rPr>
          <w:rFonts w:ascii="仿宋" w:hAnsi="仿宋" w:eastAsia="仿宋" w:cs="仿宋"/>
          <w:b w:val="0"/>
          <w:sz w:val="30"/>
        </w:rPr>
        <w:t>。</w:t>
      </w:r>
    </w:p>
    <w:p>
      <w:pPr>
        <w:spacing w:lineRule="exact" w:line="560" w:before="40" w:after="40"/>
        <w:ind w:firstLine="600"/>
        <w:jc w:val="both"/>
      </w:pPr>
      <w:r>
        <w:rPr>
          <w:rFonts w:ascii="仿宋" w:hAnsi="仿宋" w:eastAsia="仿宋" w:cs="仿宋"/>
          <w:b/>
          <w:sz w:val="30"/>
        </w:rPr>
        <w:t>（三）第3至8项书证属被上诉人自身的资质证书、授权文件、合同原件与收费凭证，当然由其控制。</w:t>
      </w:r>
    </w:p>
    <w:p>
      <w:pPr>
        <w:spacing w:lineRule="exact" w:line="560" w:before="160" w:after="80"/>
      </w:pPr>
      <w:r>
        <w:rPr>
          <w:rFonts w:ascii="仿宋" w:hAnsi="仿宋" w:eastAsia="仿宋" w:cs="仿宋"/>
          <w:b/>
          <w:sz w:val="30"/>
        </w:rPr>
        <w:t>二、上述书证对本案待证事实具有重要性</w:t>
      </w:r>
    </w:p>
    <w:p>
      <w:pPr>
        <w:spacing w:lineRule="exact" w:line="560" w:before="40" w:after="40"/>
        <w:ind w:firstLine="600"/>
        <w:jc w:val="both"/>
      </w:pPr>
      <w:r>
        <w:rPr>
          <w:rFonts w:ascii="仿宋" w:hAnsi="仿宋" w:eastAsia="仿宋" w:cs="仿宋"/>
          <w:b/>
          <w:sz w:val="30"/>
        </w:rPr>
        <w:t>（一）第1、2项</w:t>
      </w:r>
      <w:r>
        <w:rPr>
          <w:rFonts w:ascii="仿宋" w:hAnsi="仿宋" w:eastAsia="仿宋" w:cs="仿宋"/>
          <w:b w:val="0"/>
          <w:sz w:val="30"/>
        </w:rPr>
        <w:t xml:space="preserve"> 直接决定《招标投标法实施条例》第三十四条第一款"与招标人存在利害关系可能影响招标公正性"这一要件的认定。一审判决第12页要求上诉人"举证证明该关联关系对招投标结果产生实质性影响"，而反映招投标内部过程的评标报告、评分表、投标文件、评标委员会名单</w:t>
      </w:r>
      <w:r>
        <w:rPr>
          <w:rFonts w:ascii="仿宋" w:hAnsi="仿宋" w:eastAsia="仿宋" w:cs="仿宋"/>
          <w:b/>
          <w:sz w:val="30"/>
        </w:rPr>
        <w:t>从来不在业主的控制范围之内</w:t>
      </w:r>
      <w:r>
        <w:rPr>
          <w:rFonts w:ascii="仿宋" w:hAnsi="仿宋" w:eastAsia="仿宋" w:cs="仿宋"/>
          <w:b w:val="0"/>
          <w:sz w:val="30"/>
        </w:rPr>
        <w:t>。在该等证据由被上诉人控制的情况下，将举证不能的后果判归上诉人，与举证责任分配的基本原则不符。</w:t>
      </w:r>
    </w:p>
    <w:p>
      <w:pPr>
        <w:spacing w:lineRule="exact" w:line="560" w:before="40" w:after="40"/>
        <w:ind w:firstLine="600"/>
        <w:jc w:val="both"/>
      </w:pPr>
      <w:r>
        <w:rPr>
          <w:rFonts w:ascii="仿宋" w:hAnsi="仿宋" w:eastAsia="仿宋" w:cs="仿宋"/>
          <w:b/>
          <w:sz w:val="30"/>
        </w:rPr>
        <w:t>（二）第3项</w:t>
      </w:r>
      <w:r>
        <w:rPr>
          <w:rFonts w:ascii="仿宋" w:hAnsi="仿宋" w:eastAsia="仿宋" w:cs="仿宋"/>
          <w:b w:val="0"/>
          <w:sz w:val="30"/>
        </w:rPr>
        <w:t xml:space="preserve"> 直接决定资质等级与项目规模是否匹配这一争点。案涉B、C区合同封面载明"资质等级：一级，证书编号：（建）114060"，而长沙市住房和城乡建设委员会长住建物证备第0072号《外地驻长物业服务企业资质备案证明（续）》原件载明"资质等级为：</w:t>
      </w:r>
      <w:r>
        <w:rPr>
          <w:rFonts w:ascii="仿宋" w:hAnsi="仿宋" w:eastAsia="仿宋" w:cs="仿宋"/>
          <w:b/>
          <w:sz w:val="30"/>
        </w:rPr>
        <w:t>二级</w:t>
      </w:r>
      <w:r>
        <w:rPr>
          <w:rFonts w:ascii="仿宋" w:hAnsi="仿宋" w:eastAsia="仿宋" w:cs="仿宋"/>
          <w:b w:val="0"/>
          <w:sz w:val="30"/>
        </w:rPr>
        <w:t>，资质证书编号：（建）114060"。同一证书编号项下出现两种资质等级记载，</w:t>
      </w:r>
      <w:r>
        <w:rPr>
          <w:rFonts w:ascii="仿宋" w:hAnsi="仿宋" w:eastAsia="仿宋" w:cs="仿宋"/>
          <w:b/>
          <w:sz w:val="30"/>
        </w:rPr>
        <w:t>主张实际为一级的一方应当提交资质证书原件予以证明</w:t>
      </w:r>
      <w:r>
        <w:rPr>
          <w:rFonts w:ascii="仿宋" w:hAnsi="仿宋" w:eastAsia="仿宋" w:cs="仿宋"/>
          <w:b w:val="0"/>
          <w:sz w:val="30"/>
        </w:rPr>
        <w:t>。</w:t>
      </w:r>
    </w:p>
    <w:p>
      <w:pPr>
        <w:spacing w:lineRule="exact" w:line="560" w:before="40" w:after="40"/>
        <w:ind w:firstLine="600"/>
        <w:jc w:val="both"/>
      </w:pPr>
      <w:r>
        <w:rPr>
          <w:rFonts w:ascii="仿宋" w:hAnsi="仿宋" w:eastAsia="仿宋" w:cs="仿宋"/>
          <w:b w:val="0"/>
          <w:sz w:val="30"/>
        </w:rPr>
        <w:t>一审判决第14页仅以"分公司以总公司资质签约属行业惯例"作答，未查明总公司当时的资质等级。而经一审补正裁定确认，案涉项目总建筑面积为329,304.21平方米，已超过《物业服务企业资质管理办法》第八条规定的二级资质30万平方米承接上限。</w:t>
      </w:r>
    </w:p>
    <w:p>
      <w:pPr>
        <w:spacing w:lineRule="exact" w:line="560" w:before="40" w:after="40"/>
        <w:ind w:firstLine="600"/>
        <w:jc w:val="both"/>
      </w:pPr>
      <w:r>
        <w:rPr>
          <w:rFonts w:ascii="仿宋" w:hAnsi="仿宋" w:eastAsia="仿宋" w:cs="仿宋"/>
          <w:b/>
          <w:sz w:val="30"/>
        </w:rPr>
        <w:t>（三）第4、5项</w:t>
      </w:r>
      <w:r>
        <w:rPr>
          <w:rFonts w:ascii="仿宋" w:hAnsi="仿宋" w:eastAsia="仿宋" w:cs="仿宋"/>
          <w:b w:val="0"/>
          <w:sz w:val="30"/>
        </w:rPr>
        <w:t xml:space="preserve"> 直接决定合同签约主体的合法性。两次招投标的中标人均为</w:t>
      </w:r>
      <w:r>
        <w:rPr>
          <w:rFonts w:ascii="仿宋" w:hAnsi="仿宋" w:eastAsia="仿宋" w:cs="仿宋"/>
          <w:b/>
          <w:sz w:val="30"/>
        </w:rPr>
        <w:t>中铁建（北京）物业管理有限公司</w:t>
      </w:r>
      <w:r>
        <w:rPr>
          <w:rFonts w:ascii="仿宋" w:hAnsi="仿宋" w:eastAsia="仿宋" w:cs="仿宋"/>
          <w:b w:val="0"/>
          <w:sz w:val="30"/>
        </w:rPr>
        <w:t>（总公司），而两份合同的乙方均为其</w:t>
      </w:r>
      <w:r>
        <w:rPr>
          <w:rFonts w:ascii="仿宋" w:hAnsi="仿宋" w:eastAsia="仿宋" w:cs="仿宋"/>
          <w:b/>
          <w:sz w:val="30"/>
        </w:rPr>
        <w:t>长沙分公司</w:t>
      </w:r>
      <w:r>
        <w:rPr>
          <w:rFonts w:ascii="仿宋" w:hAnsi="仿宋" w:eastAsia="仿宋" w:cs="仿宋"/>
          <w:b w:val="0"/>
          <w:sz w:val="30"/>
        </w:rPr>
        <w:t>。《中华人民共和国招标投标法》第四十六条第一款规定："招标人和中标人应当自中标通知书发出之日起三十日内，按照招标文件和中标人的投标文件订立书面合同。"一审判决对中标人与签约人不一致的事实未作任何查明，仅以《中华人民共和国民法典》第七十四条分支机构责任规则作答。</w:t>
      </w:r>
    </w:p>
    <w:p>
      <w:pPr>
        <w:spacing w:lineRule="exact" w:line="560" w:before="40" w:after="40"/>
        <w:ind w:firstLine="600"/>
        <w:jc w:val="both"/>
      </w:pPr>
      <w:r>
        <w:rPr>
          <w:rFonts w:ascii="仿宋" w:hAnsi="仿宋" w:eastAsia="仿宋" w:cs="仿宋"/>
          <w:b/>
          <w:sz w:val="30"/>
        </w:rPr>
        <w:t>（四）第6项</w:t>
      </w:r>
      <w:r>
        <w:rPr>
          <w:rFonts w:ascii="仿宋" w:hAnsi="仿宋" w:eastAsia="仿宋" w:cs="仿宋"/>
          <w:b w:val="0"/>
          <w:sz w:val="30"/>
        </w:rPr>
        <w:t xml:space="preserve"> 直接决定确认合同无效之诉的审查对象。同一合同编号项下存在两个签约日期的扉页，且报送政府备案的版本与本案诉讼中提交的版本日期不一致，效力审查的对象文本尚未确定。</w:t>
      </w:r>
    </w:p>
    <w:p>
      <w:pPr>
        <w:spacing w:lineRule="exact" w:line="560" w:before="40" w:after="40"/>
        <w:ind w:firstLine="600"/>
        <w:jc w:val="both"/>
      </w:pPr>
      <w:r>
        <w:rPr>
          <w:rFonts w:ascii="仿宋" w:hAnsi="仿宋" w:eastAsia="仿宋" w:cs="仿宋"/>
          <w:b/>
          <w:sz w:val="30"/>
        </w:rPr>
        <w:t>（五）第8项</w:t>
      </w:r>
      <w:r>
        <w:rPr>
          <w:rFonts w:ascii="仿宋" w:hAnsi="仿宋" w:eastAsia="仿宋" w:cs="仿宋"/>
          <w:b w:val="0"/>
          <w:sz w:val="30"/>
        </w:rPr>
        <w:t xml:space="preserve"> 决定依据案涉合同实际取得物业费债权的主体。</w:t>
      </w:r>
    </w:p>
    <w:p>
      <w:pPr>
        <w:spacing w:lineRule="exact" w:line="560" w:before="160" w:after="80"/>
      </w:pPr>
      <w:r>
        <w:rPr>
          <w:rFonts w:ascii="仿宋" w:hAnsi="仿宋" w:eastAsia="仿宋" w:cs="仿宋"/>
          <w:b/>
          <w:sz w:val="30"/>
        </w:rPr>
        <w:t>三、法律依据</w:t>
      </w:r>
    </w:p>
    <w:p>
      <w:pPr>
        <w:spacing w:lineRule="exact" w:line="560" w:before="40" w:after="40"/>
        <w:ind w:firstLine="600"/>
        <w:jc w:val="both"/>
      </w:pPr>
      <w:r>
        <w:rPr>
          <w:rFonts w:ascii="仿宋" w:hAnsi="仿宋" w:eastAsia="仿宋" w:cs="仿宋"/>
          <w:b w:val="0"/>
          <w:sz w:val="30"/>
        </w:rPr>
        <w:t>《最高人民法院关于适用〈中华人民共和国民事诉讼法〉的解释》第一百一十二条规定："书证在对方当事人控制之下的，承担举证证明责任的当事人可以在举证期限届满前书面申请人民法院责令对方当事人提交。"</w:t>
      </w:r>
    </w:p>
    <w:p>
      <w:pPr>
        <w:spacing w:lineRule="exact" w:line="560" w:before="40" w:after="40"/>
        <w:ind w:firstLine="600"/>
        <w:jc w:val="both"/>
      </w:pPr>
      <w:r>
        <w:rPr>
          <w:rFonts w:ascii="仿宋" w:hAnsi="仿宋" w:eastAsia="仿宋" w:cs="仿宋"/>
          <w:b w:val="0"/>
          <w:sz w:val="30"/>
        </w:rPr>
        <w:t>《最高人民法院关于民事诉讼证据的若干规定》第四十五条规定，当事人申请人民法院责令对方当事人提交书证的，申请书应当载明所申请提交的书证名称或者内容、需要以该书证证明的事实及事实的重要性、对方当事人控制该书证的根据以及应当提交该书证的理由。</w:t>
      </w:r>
      <w:r>
        <w:rPr>
          <w:rFonts w:ascii="仿宋" w:hAnsi="仿宋" w:eastAsia="仿宋" w:cs="仿宋"/>
          <w:b/>
          <w:sz w:val="30"/>
        </w:rPr>
        <w:t>上诉人已在本申请书中就上述各项分别载明。</w:t>
      </w:r>
    </w:p>
    <w:p>
      <w:pPr>
        <w:spacing w:lineRule="exact" w:line="560" w:before="40" w:after="40"/>
        <w:ind w:firstLine="600"/>
        <w:jc w:val="both"/>
      </w:pPr>
      <w:r>
        <w:rPr>
          <w:rFonts w:ascii="仿宋" w:hAnsi="仿宋" w:eastAsia="仿宋" w:cs="仿宋"/>
          <w:b w:val="0"/>
          <w:sz w:val="30"/>
        </w:rPr>
        <w:t>《最高人民法院关于民事诉讼证据的若干规定》第九十五条规定："一方当事人控制书证无正当理由拒不提交，对书证内容所涉证明事项，人民法院可以认定对方当事人所主张的书证内容为真实。"</w:t>
      </w:r>
    </w:p>
    <w:p>
      <w:pPr>
        <w:spacing w:lineRule="exact" w:line="560" w:before="40" w:after="40"/>
        <w:ind w:firstLine="600"/>
        <w:jc w:val="both"/>
      </w:pPr>
      <w:r>
        <w:rPr>
          <w:rFonts w:ascii="仿宋" w:hAnsi="仿宋" w:eastAsia="仿宋" w:cs="仿宋"/>
          <w:b w:val="0"/>
          <w:sz w:val="30"/>
        </w:rPr>
        <w:t>为此，特提出本申请，请求依法准许，并明确告知被上诉人拒不提交的法律后果。</w:t>
      </w:r>
    </w:p>
    <w:p>
      <w:pPr>
        <w:spacing w:lineRule="exact" w:line="560" w:before="40" w:after="40"/>
        <w:ind w:firstLine="600"/>
        <w:jc w:val="both"/>
      </w:pPr>
      <w:r>
        <w:rPr>
          <w:rFonts w:ascii="仿宋" w:hAnsi="仿宋" w:eastAsia="仿宋" w:cs="仿宋"/>
          <w:b/>
          <w:sz w:val="30"/>
        </w:rPr>
        <w:t>此　致</w:t>
      </w:r>
    </w:p>
    <w:p>
      <w:pPr>
        <w:spacing w:lineRule="exact" w:line="560" w:before="40" w:after="40"/>
        <w:ind w:firstLine="600"/>
        <w:jc w:val="both"/>
      </w:pPr>
      <w:r>
        <w:rPr>
          <w:rFonts w:ascii="仿宋" w:hAnsi="仿宋" w:eastAsia="仿宋" w:cs="仿宋"/>
          <w:b/>
          <w:sz w:val="30"/>
        </w:rPr>
        <w:t>长沙市中级人民法院</w:t>
      </w:r>
    </w:p>
    <w:p>
      <w:pPr>
        <w:spacing w:lineRule="exact" w:line="560" w:before="40" w:after="40"/>
        <w:ind w:firstLine="600"/>
        <w:jc w:val="both"/>
      </w:pPr>
      <w:r>
        <w:rPr>
          <w:rFonts w:ascii="仿宋" w:hAnsi="仿宋" w:eastAsia="仿宋" w:cs="仿宋"/>
          <w:b/>
          <w:sz w:val="30"/>
        </w:rPr>
        <w:t>申请人：李国平</w:t>
      </w:r>
    </w:p>
    <w:p>
      <w:pPr>
        <w:spacing w:lineRule="exact" w:line="560" w:before="40" w:after="40"/>
        <w:ind w:firstLine="600"/>
        <w:jc w:val="both"/>
      </w:pPr>
      <w:r>
        <w:rPr>
          <w:rFonts w:ascii="仿宋" w:hAnsi="仿宋" w:eastAsia="仿宋" w:cs="仿宋"/>
          <w:b/>
          <w:sz w:val="30"/>
        </w:rPr>
        <w:t>委托诉讼代理人：</w:t>
      </w:r>
    </w:p>
    <w:p>
      <w:pPr>
        <w:spacing w:lineRule="exact" w:line="560" w:before="40" w:after="40"/>
        <w:ind w:firstLine="600"/>
        <w:jc w:val="both"/>
      </w:pPr>
      <w:r>
        <w:rPr>
          <w:rFonts w:ascii="仿宋" w:hAnsi="仿宋" w:eastAsia="仿宋" w:cs="仿宋"/>
          <w:b/>
          <w:sz w:val="30"/>
        </w:rPr>
        <w:t>二〇二六年九月十日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