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before="120" w:after="200"/>
        <w:jc w:val="center"/>
      </w:pPr>
      <w:r>
        <w:rPr>
          <w:rFonts w:ascii="宋体" w:hAnsi="宋体" w:eastAsia="宋体" w:cs="宋体"/>
          <w:b/>
          <w:sz w:val="44"/>
        </w:rPr>
        <w:t>调查取证申请书</w:t>
      </w:r>
    </w:p>
    <w:p>
      <w:pPr>
        <w:spacing w:lineRule="exact" w:line="560" w:before="0" w:after="280"/>
        <w:jc w:val="center"/>
      </w:pPr>
      <w:r>
        <w:rPr>
          <w:rFonts w:ascii="仿宋" w:hAnsi="仿宋" w:eastAsia="仿宋" w:cs="仿宋"/>
          <w:b w:val="0"/>
          <w:sz w:val="26"/>
        </w:rPr>
        <w:t>（2026）湘01民终13074号</w:t>
      </w:r>
    </w:p>
    <w:p>
      <w:pPr>
        <w:spacing w:lineRule="exact" w:line="560" w:before="40" w:after="40"/>
        <w:ind w:firstLine="600"/>
        <w:jc w:val="both"/>
      </w:pPr>
      <w:r>
        <w:rPr>
          <w:rFonts w:ascii="仿宋" w:hAnsi="仿宋" w:eastAsia="仿宋" w:cs="仿宋"/>
          <w:b/>
          <w:sz w:val="30"/>
        </w:rPr>
        <w:t>申 请 人（上诉人）：</w:t>
      </w:r>
      <w:r>
        <w:rPr>
          <w:rFonts w:ascii="仿宋" w:hAnsi="仿宋" w:eastAsia="仿宋" w:cs="仿宋"/>
          <w:b w:val="0"/>
          <w:sz w:val="30"/>
        </w:rPr>
        <w:t xml:space="preserve"> 李国平，男，1957年5月19日出生，汉族，户籍地湖南省长沙市开福区陡岭路4栋2门200房。</w:t>
      </w:r>
    </w:p>
    <w:p>
      <w:pPr>
        <w:spacing w:lineRule="exact" w:line="560" w:before="40" w:after="40"/>
        <w:ind w:firstLine="600"/>
        <w:jc w:val="both"/>
      </w:pPr>
      <w:r>
        <w:rPr>
          <w:rFonts w:ascii="仿宋" w:hAnsi="仿宋" w:eastAsia="仿宋" w:cs="仿宋"/>
          <w:b/>
          <w:sz w:val="30"/>
        </w:rPr>
        <w:t>被申请人（被上诉人）：</w:t>
      </w:r>
      <w:r>
        <w:rPr>
          <w:rFonts w:ascii="仿宋" w:hAnsi="仿宋" w:eastAsia="仿宋" w:cs="仿宋"/>
          <w:b w:val="0"/>
          <w:sz w:val="30"/>
        </w:rPr>
        <w:t xml:space="preserve"> 中铁建物业管理有限公司长沙分公司，住所地长沙市开福区秀峰路69号山语城会所3楼，负责人张鑫。</w:t>
      </w:r>
    </w:p>
    <w:p>
      <w:pPr>
        <w:spacing w:lineRule="exact" w:line="560" w:before="40" w:after="40"/>
        <w:ind w:firstLine="600"/>
        <w:jc w:val="both"/>
      </w:pPr>
      <w:r>
        <w:rPr>
          <w:rFonts w:ascii="仿宋" w:hAnsi="仿宋" w:eastAsia="仿宋" w:cs="仿宋"/>
          <w:b/>
          <w:sz w:val="30"/>
        </w:rPr>
        <w:t>被申请人（被上诉人）：</w:t>
      </w:r>
      <w:r>
        <w:rPr>
          <w:rFonts w:ascii="仿宋" w:hAnsi="仿宋" w:eastAsia="仿宋" w:cs="仿宋"/>
          <w:b w:val="0"/>
          <w:sz w:val="30"/>
        </w:rPr>
        <w:t xml:space="preserve"> 中铁房地产集团长沙置业有限公司，住所地长沙市开福区秀峰路69号山语城会所三楼，法定代表人周玉明。</w:t>
      </w:r>
    </w:p>
    <w:p>
      <w:pPr>
        <w:spacing w:lineRule="exact" w:line="560" w:before="40" w:after="40"/>
        <w:ind w:firstLine="600"/>
        <w:jc w:val="both"/>
      </w:pPr>
      <w:r>
        <w:rPr>
          <w:rFonts w:ascii="仿宋" w:hAnsi="仿宋" w:eastAsia="仿宋" w:cs="仿宋"/>
          <w:b/>
          <w:sz w:val="30"/>
        </w:rPr>
        <w:t>案　　由：</w:t>
      </w:r>
      <w:r>
        <w:rPr>
          <w:rFonts w:ascii="仿宋" w:hAnsi="仿宋" w:eastAsia="仿宋" w:cs="仿宋"/>
          <w:b w:val="0"/>
          <w:sz w:val="30"/>
        </w:rPr>
        <w:t xml:space="preserve"> 确认合同无效纠纷</w:t>
      </w:r>
    </w:p>
    <w:p>
      <w:pPr>
        <w:spacing w:lineRule="exact" w:line="560" w:before="40" w:after="40"/>
        <w:ind w:firstLine="600"/>
        <w:jc w:val="both"/>
      </w:pPr>
      <w:r>
        <w:rPr>
          <w:rFonts w:ascii="仿宋" w:hAnsi="仿宋" w:eastAsia="仿宋" w:cs="仿宋"/>
          <w:b/>
          <w:sz w:val="30"/>
        </w:rPr>
        <w:t>案　　号：</w:t>
      </w:r>
      <w:r>
        <w:rPr>
          <w:rFonts w:ascii="仿宋" w:hAnsi="仿宋" w:eastAsia="仿宋" w:cs="仿宋"/>
          <w:b w:val="0"/>
          <w:sz w:val="30"/>
        </w:rPr>
        <w:t xml:space="preserve"> （2026）湘01民终13074号</w:t>
      </w:r>
    </w:p>
    <w:p>
      <w:pPr>
        <w:spacing w:lineRule="exact" w:line="560" w:before="160" w:after="80"/>
      </w:pPr>
      <w:r>
        <w:rPr>
          <w:rFonts w:ascii="仿宋" w:hAnsi="仿宋" w:eastAsia="仿宋" w:cs="仿宋"/>
          <w:b/>
          <w:sz w:val="30"/>
        </w:rPr>
        <w:t>申请事项</w:t>
      </w:r>
    </w:p>
    <w:p>
      <w:pPr>
        <w:spacing w:lineRule="exact" w:line="560" w:before="40" w:after="40"/>
        <w:ind w:firstLine="600"/>
        <w:jc w:val="both"/>
      </w:pPr>
      <w:r>
        <w:rPr>
          <w:rFonts w:ascii="仿宋" w:hAnsi="仿宋" w:eastAsia="仿宋" w:cs="仿宋"/>
          <w:b w:val="0"/>
          <w:sz w:val="30"/>
        </w:rPr>
        <w:t>依据《中华人民共和国民事诉讼法》第六十七条第二款、《最高人民法院关于适用〈中华人民共和国民事诉讼法〉的解释》第九十四条之规定，申请人民法院依职权向下列单位调取以下证据：</w:t>
      </w:r>
    </w:p>
    <w:p>
      <w:pPr>
        <w:spacing w:lineRule="exact" w:line="560" w:before="160" w:after="80"/>
      </w:pPr>
      <w:r>
        <w:rPr>
          <w:rFonts w:ascii="仿宋" w:hAnsi="仿宋" w:eastAsia="仿宋" w:cs="仿宋"/>
          <w:b/>
          <w:sz w:val="30"/>
        </w:rPr>
        <w:t>第一项　向长沙市住房和城乡建设局、长沙市开福区住房和城乡建设局调取</w:t>
      </w:r>
    </w:p>
    <w:p>
      <w:pPr>
        <w:spacing w:lineRule="exact" w:line="560" w:before="40" w:after="40"/>
        <w:ind w:firstLine="600"/>
        <w:jc w:val="both"/>
      </w:pPr>
      <w:r>
        <w:rPr>
          <w:rFonts w:ascii="仿宋" w:hAnsi="仿宋" w:eastAsia="仿宋" w:cs="仿宋"/>
          <w:b/>
          <w:sz w:val="30"/>
        </w:rPr>
        <w:t>1. 中国铁建·山语城三期A区、B区、C区物业管理区域划分备案文件。</w:t>
      </w:r>
      <w:r>
        <w:rPr>
          <w:rFonts w:ascii="仿宋" w:hAnsi="仿宋" w:eastAsia="仿宋" w:cs="仿宋"/>
          <w:b w:val="0"/>
          <w:sz w:val="30"/>
        </w:rPr>
        <w:t xml:space="preserve"> 如未办理该项备案，请求该局出具书面说明。</w:t>
      </w:r>
    </w:p>
    <w:p>
      <w:pPr>
        <w:spacing w:lineRule="exact" w:line="560" w:before="40" w:after="40"/>
        <w:ind w:firstLine="600"/>
        <w:jc w:val="both"/>
      </w:pPr>
      <w:r>
        <w:rPr>
          <w:rFonts w:ascii="仿宋" w:hAnsi="仿宋" w:eastAsia="仿宋" w:cs="仿宋"/>
          <w:b/>
          <w:sz w:val="30"/>
        </w:rPr>
        <w:t>待证事实：</w:t>
      </w:r>
      <w:r>
        <w:rPr>
          <w:rFonts w:ascii="仿宋" w:hAnsi="仿宋" w:eastAsia="仿宋" w:cs="仿宋"/>
          <w:b w:val="0"/>
          <w:sz w:val="30"/>
        </w:rPr>
        <w:t xml:space="preserve"> A区与B、C区是否构成两个依法划分并备案的独立物业管理区域。该事实同时决定：①上诉人作为B、C区业主对A区《前期物业服务合同》有无诉的利益；②同一开发项目分两次招标、签订两份前期物业服务合同有无区域上的依据。一审判决对该事实未作任何查明。</w:t>
      </w:r>
    </w:p>
    <w:p>
      <w:pPr>
        <w:spacing w:lineRule="exact" w:line="560" w:before="40" w:after="40"/>
        <w:ind w:firstLine="600"/>
        <w:jc w:val="both"/>
      </w:pPr>
      <w:r>
        <w:rPr>
          <w:rFonts w:ascii="仿宋" w:hAnsi="仿宋" w:eastAsia="仿宋" w:cs="仿宋"/>
          <w:b/>
          <w:sz w:val="30"/>
        </w:rPr>
        <w:t>2. 中国铁建·山语城三期A区（2014年）、B、C区（2016年）前期物业管理招投标全部备案卷宗</w:t>
      </w:r>
      <w:r>
        <w:rPr>
          <w:rFonts w:ascii="仿宋" w:hAnsi="仿宋" w:eastAsia="仿宋" w:cs="仿宋"/>
          <w:b w:val="0"/>
          <w:sz w:val="30"/>
        </w:rPr>
        <w:t>，包括但不限于：招标公告或者邀请招标文件、投标人名单、各投标人投标文件、资格审查记录、评标委员会组成名单、评分表、评标报告、中标通知书。</w:t>
      </w:r>
    </w:p>
    <w:p>
      <w:pPr>
        <w:spacing w:lineRule="exact" w:line="560" w:before="40" w:after="40"/>
        <w:ind w:firstLine="600"/>
        <w:jc w:val="both"/>
      </w:pPr>
      <w:r>
        <w:rPr>
          <w:rFonts w:ascii="仿宋" w:hAnsi="仿宋" w:eastAsia="仿宋" w:cs="仿宋"/>
          <w:b/>
          <w:sz w:val="30"/>
        </w:rPr>
        <w:t>待证事实：</w:t>
      </w:r>
      <w:r>
        <w:rPr>
          <w:rFonts w:ascii="仿宋" w:hAnsi="仿宋" w:eastAsia="仿宋" w:cs="仿宋"/>
          <w:b w:val="0"/>
          <w:sz w:val="30"/>
        </w:rPr>
        <w:t xml:space="preserve"> 两次招投标是否存在真实的竞争性投标；B、C区中标资料备案表所载"综合评分91.4"的评分构成与依据；相隔两年的两次招标由同一企业中标且中标价格完全相同（高层住宅2.2元/㎡·月、商业5.0元/㎡·月）的原因。</w:t>
      </w:r>
    </w:p>
    <w:p>
      <w:pPr>
        <w:spacing w:lineRule="exact" w:line="560" w:before="40" w:after="40"/>
        <w:ind w:firstLine="600"/>
        <w:jc w:val="both"/>
      </w:pPr>
      <w:r>
        <w:rPr>
          <w:rFonts w:ascii="仿宋" w:hAnsi="仿宋" w:eastAsia="仿宋" w:cs="仿宋"/>
          <w:b/>
          <w:sz w:val="30"/>
        </w:rPr>
        <w:t>3. 长沙市住房和城乡建设委员会长住建物证备第0072号《外地驻长物业服务企业资质备案证明（续）》原件，及中铁建（北京）物业管理有限公司长沙分公司2012年至2017年历年外地驻长物业服务企业资质备案证明。</w:t>
      </w:r>
    </w:p>
    <w:p>
      <w:pPr>
        <w:spacing w:lineRule="exact" w:line="560" w:before="40" w:after="40"/>
        <w:ind w:firstLine="600"/>
        <w:jc w:val="both"/>
      </w:pPr>
      <w:r>
        <w:rPr>
          <w:rFonts w:ascii="仿宋" w:hAnsi="仿宋" w:eastAsia="仿宋" w:cs="仿宋"/>
          <w:b/>
          <w:sz w:val="30"/>
        </w:rPr>
        <w:t>待证事实：</w:t>
      </w:r>
      <w:r>
        <w:rPr>
          <w:rFonts w:ascii="仿宋" w:hAnsi="仿宋" w:eastAsia="仿宋" w:cs="仿宋"/>
          <w:b w:val="0"/>
          <w:sz w:val="30"/>
        </w:rPr>
        <w:t xml:space="preserve"> 该企业在2014年、2016年案涉两次招投标及签约期间实际持有的物业服务企业资质等级。上诉人取得的该第0072号备案证明载明"资质等级为</w:t>
      </w:r>
      <w:r>
        <w:rPr>
          <w:rFonts w:ascii="仿宋" w:hAnsi="仿宋" w:eastAsia="仿宋" w:cs="仿宋"/>
          <w:b/>
          <w:sz w:val="30"/>
        </w:rPr>
        <w:t>二级</w:t>
      </w:r>
      <w:r>
        <w:rPr>
          <w:rFonts w:ascii="仿宋" w:hAnsi="仿宋" w:eastAsia="仿宋" w:cs="仿宋"/>
          <w:b w:val="0"/>
          <w:sz w:val="30"/>
        </w:rPr>
        <w:t>，资质证书编号（建）114060"，而案涉B、C区前期物业服务合同封面载明"资质等级：</w:t>
      </w:r>
      <w:r>
        <w:rPr>
          <w:rFonts w:ascii="仿宋" w:hAnsi="仿宋" w:eastAsia="仿宋" w:cs="仿宋"/>
          <w:b/>
          <w:sz w:val="30"/>
        </w:rPr>
        <w:t>一级</w:t>
      </w:r>
      <w:r>
        <w:rPr>
          <w:rFonts w:ascii="仿宋" w:hAnsi="仿宋" w:eastAsia="仿宋" w:cs="仿宋"/>
          <w:b w:val="0"/>
          <w:sz w:val="30"/>
        </w:rPr>
        <w:t>，证书编号：（建）114060"，二者记载不一致。</w:t>
      </w:r>
    </w:p>
    <w:p>
      <w:pPr>
        <w:spacing w:lineRule="exact" w:line="560" w:before="40" w:after="40"/>
        <w:ind w:firstLine="600"/>
        <w:jc w:val="both"/>
      </w:pPr>
      <w:r>
        <w:rPr>
          <w:rFonts w:ascii="仿宋" w:hAnsi="仿宋" w:eastAsia="仿宋" w:cs="仿宋"/>
          <w:b/>
          <w:sz w:val="30"/>
        </w:rPr>
        <w:t>4. B、C区前期物业服务合同报送备案的完整文本</w:t>
      </w:r>
      <w:r>
        <w:rPr>
          <w:rFonts w:ascii="仿宋" w:hAnsi="仿宋" w:eastAsia="仿宋" w:cs="仿宋"/>
          <w:b w:val="0"/>
          <w:sz w:val="30"/>
        </w:rPr>
        <w:t>（含扉页、正文及附件）。</w:t>
      </w:r>
    </w:p>
    <w:p>
      <w:pPr>
        <w:spacing w:lineRule="exact" w:line="560" w:before="40" w:after="40"/>
        <w:ind w:firstLine="600"/>
        <w:jc w:val="both"/>
      </w:pPr>
      <w:r>
        <w:rPr>
          <w:rFonts w:ascii="仿宋" w:hAnsi="仿宋" w:eastAsia="仿宋" w:cs="仿宋"/>
          <w:b/>
          <w:sz w:val="30"/>
        </w:rPr>
        <w:t>待证事实：</w:t>
      </w:r>
      <w:r>
        <w:rPr>
          <w:rFonts w:ascii="仿宋" w:hAnsi="仿宋" w:eastAsia="仿宋" w:cs="仿宋"/>
          <w:b w:val="0"/>
          <w:sz w:val="30"/>
        </w:rPr>
        <w:t xml:space="preserve"> 案涉B、C区合同编号CRCC-CSZY-SYC-WY-2016-049项下存在签约日期分别为2016年5月31日与2016年8月31日的两份扉页，报送政府备案的版本与本案诉讼中提交的版本日期不一致，效力审查的对象文本尚未确定。</w:t>
      </w:r>
    </w:p>
    <w:p>
      <w:pPr>
        <w:spacing w:lineRule="exact" w:line="560" w:before="160" w:after="80"/>
      </w:pPr>
      <w:r>
        <w:rPr>
          <w:rFonts w:ascii="仿宋" w:hAnsi="仿宋" w:eastAsia="仿宋" w:cs="仿宋"/>
          <w:b/>
          <w:sz w:val="30"/>
        </w:rPr>
        <w:t>第二项　向物业服务企业资质核准机关调取</w:t>
      </w:r>
    </w:p>
    <w:p>
      <w:pPr>
        <w:spacing w:lineRule="exact" w:line="560" w:before="40" w:after="40"/>
        <w:ind w:firstLine="600"/>
        <w:jc w:val="both"/>
      </w:pPr>
      <w:r>
        <w:rPr>
          <w:rFonts w:ascii="仿宋" w:hAnsi="仿宋" w:eastAsia="仿宋" w:cs="仿宋"/>
          <w:b/>
          <w:sz w:val="30"/>
        </w:rPr>
        <w:t>5. 中铁建（北京）物业管理有限公司（现名中铁建物业管理有限公司）物业服务企业资质证书编号（建）114060的核准档案、资质等级变更记录，以及资质证书"京物企资二〔2010〕第0004号"的相关档案。</w:t>
      </w:r>
    </w:p>
    <w:p>
      <w:pPr>
        <w:spacing w:lineRule="exact" w:line="560" w:before="40" w:after="40"/>
        <w:ind w:firstLine="600"/>
        <w:jc w:val="both"/>
      </w:pPr>
      <w:r>
        <w:rPr>
          <w:rFonts w:ascii="仿宋" w:hAnsi="仿宋" w:eastAsia="仿宋" w:cs="仿宋"/>
          <w:b/>
          <w:sz w:val="30"/>
        </w:rPr>
        <w:t>待证事实：</w:t>
      </w:r>
      <w:r>
        <w:rPr>
          <w:rFonts w:ascii="仿宋" w:hAnsi="仿宋" w:eastAsia="仿宋" w:cs="仿宋"/>
          <w:b w:val="0"/>
          <w:sz w:val="30"/>
        </w:rPr>
        <w:t xml:space="preserve"> 该企业一级资质的首次核准日期；2014年4月、2016年4月两次投标当日实际持有的资质等级。</w:t>
      </w:r>
    </w:p>
    <w:p>
      <w:pPr>
        <w:spacing w:lineRule="exact" w:line="560" w:before="160" w:after="80"/>
      </w:pPr>
      <w:r>
        <w:rPr>
          <w:rFonts w:ascii="仿宋" w:hAnsi="仿宋" w:eastAsia="仿宋" w:cs="仿宋"/>
          <w:b/>
          <w:sz w:val="30"/>
        </w:rPr>
        <w:t>第三项　向市场监督管理部门调取</w:t>
      </w:r>
    </w:p>
    <w:p>
      <w:pPr>
        <w:spacing w:lineRule="exact" w:line="560" w:before="40" w:after="40"/>
        <w:ind w:firstLine="600"/>
        <w:jc w:val="both"/>
      </w:pPr>
      <w:r>
        <w:rPr>
          <w:rFonts w:ascii="仿宋" w:hAnsi="仿宋" w:eastAsia="仿宋" w:cs="仿宋"/>
          <w:b/>
          <w:sz w:val="30"/>
        </w:rPr>
        <w:t>6. 中铁房地产集团长沙置业有限公司自2012年至今的法定代表人变更登记全部记录。</w:t>
      </w:r>
    </w:p>
    <w:p>
      <w:pPr>
        <w:spacing w:lineRule="exact" w:line="560" w:before="40" w:after="40"/>
        <w:ind w:firstLine="600"/>
        <w:jc w:val="both"/>
      </w:pPr>
      <w:r>
        <w:rPr>
          <w:rFonts w:ascii="仿宋" w:hAnsi="仿宋" w:eastAsia="仿宋" w:cs="仿宋"/>
          <w:b/>
          <w:sz w:val="30"/>
        </w:rPr>
        <w:t>待证事实：</w:t>
      </w:r>
      <w:r>
        <w:rPr>
          <w:rFonts w:ascii="仿宋" w:hAnsi="仿宋" w:eastAsia="仿宋" w:cs="仿宋"/>
          <w:b w:val="0"/>
          <w:sz w:val="30"/>
        </w:rPr>
        <w:t xml:space="preserve"> 一审判决第9页仅认定"2012年1月31日由彭长城变更为赵力；2015年3月27日由赵力变更为孙驿杰"，而案涉B、C区中标资料备案表建设单位申请意见栏所盖名章、以及B、C区合同封面所载甲方法定代表人均为"</w:t>
      </w:r>
      <w:r>
        <w:rPr>
          <w:rFonts w:ascii="仿宋" w:hAnsi="仿宋" w:eastAsia="仿宋" w:cs="仿宋"/>
          <w:b/>
          <w:sz w:val="30"/>
        </w:rPr>
        <w:t>王刚</w:t>
      </w:r>
      <w:r>
        <w:rPr>
          <w:rFonts w:ascii="仿宋" w:hAnsi="仿宋" w:eastAsia="仿宋" w:cs="仿宋"/>
          <w:b w:val="0"/>
          <w:sz w:val="30"/>
        </w:rPr>
        <w:t>"，一审判决对此未作任何查明。</w:t>
      </w:r>
    </w:p>
    <w:p>
      <w:pPr>
        <w:spacing w:lineRule="exact" w:line="560" w:before="40" w:after="40"/>
        <w:ind w:firstLine="600"/>
        <w:jc w:val="both"/>
      </w:pPr>
      <w:r>
        <w:rPr>
          <w:rFonts w:ascii="仿宋" w:hAnsi="仿宋" w:eastAsia="仿宋" w:cs="仿宋"/>
          <w:b/>
          <w:sz w:val="30"/>
        </w:rPr>
        <w:t>7. 中铁建（北京）物业管理有限公司长沙分公司设立登记档案及历任负责人登记记录。</w:t>
      </w:r>
    </w:p>
    <w:p>
      <w:pPr>
        <w:spacing w:lineRule="exact" w:line="560" w:before="40" w:after="40"/>
        <w:ind w:firstLine="600"/>
        <w:jc w:val="both"/>
      </w:pPr>
      <w:r>
        <w:rPr>
          <w:rFonts w:ascii="仿宋" w:hAnsi="仿宋" w:eastAsia="仿宋" w:cs="仿宋"/>
          <w:b/>
          <w:sz w:val="30"/>
        </w:rPr>
        <w:t>待证事实：</w:t>
      </w:r>
      <w:r>
        <w:rPr>
          <w:rFonts w:ascii="仿宋" w:hAnsi="仿宋" w:eastAsia="仿宋" w:cs="仿宋"/>
          <w:b w:val="0"/>
          <w:sz w:val="30"/>
        </w:rPr>
        <w:t xml:space="preserve"> 该分公司的设立时间、经营范围、历任负责人；案涉两份合同签署人的身份与权限。</w:t>
      </w:r>
    </w:p>
    <w:p>
      <w:pPr>
        <w:spacing w:lineRule="exact" w:line="560" w:before="160" w:after="80"/>
      </w:pPr>
      <w:r>
        <w:rPr>
          <w:rFonts w:ascii="仿宋" w:hAnsi="仿宋" w:eastAsia="仿宋" w:cs="仿宋"/>
          <w:b/>
          <w:sz w:val="30"/>
        </w:rPr>
        <w:t>第四项　向长沙铁路运输法院调取</w:t>
      </w:r>
    </w:p>
    <w:p>
      <w:pPr>
        <w:spacing w:lineRule="exact" w:line="560" w:before="40" w:after="40"/>
        <w:ind w:firstLine="600"/>
        <w:jc w:val="both"/>
      </w:pPr>
      <w:r>
        <w:rPr>
          <w:rFonts w:ascii="仿宋" w:hAnsi="仿宋" w:eastAsia="仿宋" w:cs="仿宋"/>
          <w:b/>
          <w:sz w:val="30"/>
        </w:rPr>
        <w:t>8. （2026）湘8601行初374号行政案件卷宗中，第三人中铁建物业管理有限公司长沙分公司提交的书面《答辩意见》原件。</w:t>
      </w:r>
    </w:p>
    <w:p>
      <w:pPr>
        <w:spacing w:lineRule="exact" w:line="560" w:before="40" w:after="40"/>
        <w:ind w:firstLine="600"/>
        <w:jc w:val="both"/>
      </w:pPr>
      <w:r>
        <w:rPr>
          <w:rFonts w:ascii="仿宋" w:hAnsi="仿宋" w:eastAsia="仿宋" w:cs="仿宋"/>
          <w:b/>
          <w:sz w:val="30"/>
        </w:rPr>
        <w:t>待证事实：</w:t>
      </w:r>
      <w:r>
        <w:rPr>
          <w:rFonts w:ascii="仿宋" w:hAnsi="仿宋" w:eastAsia="仿宋" w:cs="仿宋"/>
          <w:b w:val="0"/>
          <w:sz w:val="30"/>
        </w:rPr>
        <w:t xml:space="preserve"> 被上诉人一在该案中陈述前期物业服务合同备案"是一种告知性备案……不属于行政确认或行政许可事项"，与其在本案一审中所称"中标结果经主管部门审查后备案，被告中标有效"相互矛盾。</w:t>
      </w:r>
    </w:p>
    <w:p>
      <w:pPr>
        <w:spacing w:lineRule="exact" w:line="560" w:before="160" w:after="80"/>
      </w:pPr>
      <w:r>
        <w:rPr>
          <w:rFonts w:ascii="仿宋" w:hAnsi="仿宋" w:eastAsia="仿宋" w:cs="仿宋"/>
          <w:b/>
          <w:sz w:val="30"/>
        </w:rPr>
        <w:t>事实与理由</w:t>
      </w:r>
    </w:p>
    <w:p>
      <w:pPr>
        <w:spacing w:lineRule="exact" w:line="560" w:before="40" w:after="40"/>
        <w:ind w:firstLine="600"/>
        <w:jc w:val="both"/>
      </w:pPr>
      <w:r>
        <w:rPr>
          <w:rFonts w:ascii="仿宋" w:hAnsi="仿宋" w:eastAsia="仿宋" w:cs="仿宋"/>
          <w:b w:val="0"/>
          <w:sz w:val="30"/>
        </w:rPr>
        <w:t>一、上述证据均由行政机关或者被上诉人控制，</w:t>
      </w:r>
      <w:r>
        <w:rPr>
          <w:rFonts w:ascii="仿宋" w:hAnsi="仿宋" w:eastAsia="仿宋" w:cs="仿宋"/>
          <w:b/>
          <w:sz w:val="30"/>
        </w:rPr>
        <w:t>上诉人作为普通业主，客观上不能自行收集</w:t>
      </w:r>
      <w:r>
        <w:rPr>
          <w:rFonts w:ascii="仿宋" w:hAnsi="仿宋" w:eastAsia="仿宋" w:cs="仿宋"/>
          <w:b w:val="0"/>
          <w:sz w:val="30"/>
        </w:rPr>
        <w:t>。上诉人此前虽已通过政府信息公开途径申请，但长沙市住房和城乡建设局书面答复称全套招投标材料因资料室搬迁遗失，上诉人无从取得。</w:t>
      </w:r>
    </w:p>
    <w:p>
      <w:pPr>
        <w:spacing w:lineRule="exact" w:line="560" w:before="40" w:after="40"/>
        <w:ind w:firstLine="600"/>
        <w:jc w:val="both"/>
      </w:pPr>
      <w:r>
        <w:rPr>
          <w:rFonts w:ascii="仿宋" w:hAnsi="仿宋" w:eastAsia="仿宋" w:cs="仿宋"/>
          <w:b w:val="0"/>
          <w:sz w:val="30"/>
        </w:rPr>
        <w:t>二、上述证据</w:t>
      </w:r>
      <w:r>
        <w:rPr>
          <w:rFonts w:ascii="仿宋" w:hAnsi="仿宋" w:eastAsia="仿宋" w:cs="仿宋"/>
          <w:b/>
          <w:sz w:val="30"/>
        </w:rPr>
        <w:t>对认定案件基本事实具有决定意义</w:t>
      </w:r>
      <w:r>
        <w:rPr>
          <w:rFonts w:ascii="仿宋" w:hAnsi="仿宋" w:eastAsia="仿宋" w:cs="仿宋"/>
          <w:b w:val="0"/>
          <w:sz w:val="30"/>
        </w:rPr>
        <w:t>：第1项决定上诉人对A区合同有无诉的利益及"化整为零"是否成立；第2、5项决定两次招投标是否合法、投标人资格是否具备；第3、4项决定合同的资质记载与效力审查对象；第6、7项决定签约主体与授权依据。一审判决对上述事实均未查明。</w:t>
      </w:r>
    </w:p>
    <w:p>
      <w:pPr>
        <w:spacing w:lineRule="exact" w:line="560" w:before="40" w:after="40"/>
        <w:ind w:firstLine="600"/>
        <w:jc w:val="both"/>
      </w:pPr>
      <w:r>
        <w:rPr>
          <w:rFonts w:ascii="仿宋" w:hAnsi="仿宋" w:eastAsia="仿宋" w:cs="仿宋"/>
          <w:b w:val="0"/>
          <w:sz w:val="30"/>
        </w:rPr>
        <w:t>三、依《中华人民共和国民事诉讼法》第六十七条第二款，"当事人及其诉讼代理人因客观原因不能自行收集的证据，或者人民法院认为审理案件需要的证据，人民法院应当调查收集"。本案符合该项规定的情形。</w:t>
      </w:r>
    </w:p>
    <w:p>
      <w:pPr>
        <w:spacing w:lineRule="exact" w:line="560" w:before="40" w:after="40"/>
        <w:ind w:firstLine="600"/>
        <w:jc w:val="both"/>
      </w:pPr>
      <w:r>
        <w:rPr>
          <w:rFonts w:ascii="仿宋" w:hAnsi="仿宋" w:eastAsia="仿宋" w:cs="仿宋"/>
          <w:b w:val="0"/>
          <w:sz w:val="30"/>
        </w:rPr>
        <w:t>为此，特提出本申请，请求依法准许。</w:t>
      </w:r>
    </w:p>
    <w:p>
      <w:pPr>
        <w:spacing w:lineRule="exact" w:line="560" w:before="40" w:after="40"/>
        <w:ind w:firstLine="600"/>
        <w:jc w:val="both"/>
      </w:pPr>
      <w:r>
        <w:rPr>
          <w:rFonts w:ascii="仿宋" w:hAnsi="仿宋" w:eastAsia="仿宋" w:cs="仿宋"/>
          <w:b/>
          <w:sz w:val="30"/>
        </w:rPr>
        <w:t>此　致</w:t>
      </w:r>
    </w:p>
    <w:p>
      <w:pPr>
        <w:spacing w:lineRule="exact" w:line="560" w:before="40" w:after="40"/>
        <w:ind w:firstLine="600"/>
        <w:jc w:val="both"/>
      </w:pPr>
      <w:r>
        <w:rPr>
          <w:rFonts w:ascii="仿宋" w:hAnsi="仿宋" w:eastAsia="仿宋" w:cs="仿宋"/>
          <w:b/>
          <w:sz w:val="30"/>
        </w:rPr>
        <w:t>长沙市中级人民法院</w:t>
      </w:r>
    </w:p>
    <w:p>
      <w:pPr>
        <w:spacing w:lineRule="exact" w:line="560" w:before="40" w:after="40"/>
        <w:ind w:firstLine="600"/>
        <w:jc w:val="both"/>
      </w:pPr>
      <w:r>
        <w:rPr>
          <w:rFonts w:ascii="仿宋" w:hAnsi="仿宋" w:eastAsia="仿宋" w:cs="仿宋"/>
          <w:b/>
          <w:sz w:val="30"/>
        </w:rPr>
        <w:t>申请人：李国平</w:t>
      </w:r>
    </w:p>
    <w:p>
      <w:pPr>
        <w:spacing w:lineRule="exact" w:line="560" w:before="40" w:after="40"/>
        <w:ind w:firstLine="600"/>
        <w:jc w:val="both"/>
      </w:pPr>
      <w:r>
        <w:rPr>
          <w:rFonts w:ascii="仿宋" w:hAnsi="仿宋" w:eastAsia="仿宋" w:cs="仿宋"/>
          <w:b/>
          <w:sz w:val="30"/>
        </w:rPr>
        <w:t>委托诉讼代理人：</w:t>
      </w:r>
    </w:p>
    <w:p>
      <w:pPr>
        <w:spacing w:lineRule="exact" w:line="560" w:before="40" w:after="40"/>
        <w:ind w:firstLine="600"/>
        <w:jc w:val="both"/>
      </w:pPr>
      <w:r>
        <w:rPr>
          <w:rFonts w:ascii="仿宋" w:hAnsi="仿宋" w:eastAsia="仿宋" w:cs="仿宋"/>
          <w:b/>
          <w:sz w:val="30"/>
        </w:rPr>
        <w:t>二〇二六年九月十日</w:t>
      </w:r>
    </w:p>
    <w:sectPr w:rsidR="00FC693F" w:rsidRPr="0006063C" w:rsidSect="00034616">
      <w:footerReference w:type="default" r:id="rId9"/>
      <w:pgSz w:w="11906" w:h="16838"/>
      <w:pgMar w:top="1417" w:right="1474"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仿宋" w:hAnsi="仿宋" w:eastAsia="仿宋" w:cs="仿宋"/>
        <w:b w:val="0"/>
        <w:sz w:val="21"/>
      </w:rPr>
      <w:t xml:space="preserve">— </w:t>
    </w:r>
    <w:fldSimple w:instr="PAGE">
      <w:r>
        <w:rPr>
          <w:rFonts w:ascii="仿宋" w:hAnsi="仿宋" w:eastAsia="仿宋"/>
          <w:sz w:val="21"/>
        </w:rPr>
      </w:r>
    </w:fldSimple>
    <w:r>
      <w:rPr>
        <w:rFonts w:ascii="仿宋" w:hAnsi="仿宋" w:eastAsia="仿宋" w:cs="仿宋"/>
        <w:b w:val="0"/>
        <w:sz w:val="21"/>
      </w:rPr>
      <w:t xml:space="preserve"> —</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hAnsi="仿宋" w:eastAsia="仿宋"/>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