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 w:before="120" w:after="200"/>
        <w:jc w:val="center"/>
      </w:pPr>
      <w:r>
        <w:rPr>
          <w:rFonts w:ascii="宋体" w:hAnsi="宋体" w:eastAsia="宋体" w:cs="宋体"/>
          <w:b/>
          <w:sz w:val="44"/>
        </w:rPr>
        <w:t>关于查明庭后指定提交材料是否入卷及组织质证的申请书</w:t>
      </w:r>
    </w:p>
    <w:p>
      <w:pPr>
        <w:spacing w:lineRule="exact" w:line="560" w:before="0" w:after="280"/>
        <w:jc w:val="center"/>
      </w:pPr>
      <w:r>
        <w:rPr>
          <w:rFonts w:ascii="仿宋" w:hAnsi="仿宋" w:eastAsia="仿宋" w:cs="仿宋"/>
          <w:b w:val="0"/>
          <w:sz w:val="26"/>
        </w:rPr>
        <w:t>（2026）湘01民终13074号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申 请 人（上诉人）：</w:t>
      </w:r>
      <w:r>
        <w:rPr>
          <w:rFonts w:ascii="仿宋" w:hAnsi="仿宋" w:eastAsia="仿宋" w:cs="仿宋"/>
          <w:b w:val="0"/>
          <w:sz w:val="30"/>
        </w:rPr>
        <w:t xml:space="preserve"> 李国平，男，1957年5月19日出生，汉族，户籍地湖南省长沙市开福区陡岭路4栋2门200房。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被申请人（被上诉人）：</w:t>
      </w:r>
      <w:r>
        <w:rPr>
          <w:rFonts w:ascii="仿宋" w:hAnsi="仿宋" w:eastAsia="仿宋" w:cs="仿宋"/>
          <w:b w:val="0"/>
          <w:sz w:val="30"/>
        </w:rPr>
        <w:t xml:space="preserve"> 中铁建物业管理有限公司长沙分公司，住所地长沙市开福区秀峰路69号山语城会所3楼，负责人张鑫。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被申请人（被上诉人）：</w:t>
      </w:r>
      <w:r>
        <w:rPr>
          <w:rFonts w:ascii="仿宋" w:hAnsi="仿宋" w:eastAsia="仿宋" w:cs="仿宋"/>
          <w:b w:val="0"/>
          <w:sz w:val="30"/>
        </w:rPr>
        <w:t xml:space="preserve"> 中铁房地产集团长沙置业有限公司，住所地长沙市开福区秀峰路69号山语城会所三楼，法定代表人周玉明。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案　　由：</w:t>
      </w:r>
      <w:r>
        <w:rPr>
          <w:rFonts w:ascii="仿宋" w:hAnsi="仿宋" w:eastAsia="仿宋" w:cs="仿宋"/>
          <w:b w:val="0"/>
          <w:sz w:val="30"/>
        </w:rPr>
        <w:t xml:space="preserve"> 确认合同无效纠纷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案　　号：</w:t>
      </w:r>
      <w:r>
        <w:rPr>
          <w:rFonts w:ascii="仿宋" w:hAnsi="仿宋" w:eastAsia="仿宋" w:cs="仿宋"/>
          <w:b w:val="0"/>
          <w:sz w:val="30"/>
        </w:rPr>
        <w:t xml:space="preserve"> （2026）湘01民终13074号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申请事项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请求人民法院调阅（2025）湘0105民初27046号案卷宗，</w:t>
      </w:r>
      <w:r>
        <w:rPr>
          <w:rFonts w:ascii="仿宋" w:hAnsi="仿宋" w:eastAsia="仿宋" w:cs="仿宋"/>
          <w:b/>
          <w:sz w:val="30"/>
        </w:rPr>
        <w:t>当庭查明并记入庭审笔录</w:t>
      </w:r>
      <w:r>
        <w:rPr>
          <w:rFonts w:ascii="仿宋" w:hAnsi="仿宋" w:eastAsia="仿宋" w:cs="仿宋"/>
          <w:b w:val="0"/>
          <w:sz w:val="30"/>
        </w:rPr>
        <w:t>下列事项：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一、一审法院于庭审中两次指令被告"于庭后五个工作日内向本院予以回复"的两份书面材料，</w:t>
      </w:r>
      <w:r>
        <w:rPr>
          <w:rFonts w:ascii="仿宋" w:hAnsi="仿宋" w:eastAsia="仿宋" w:cs="仿宋"/>
          <w:b/>
          <w:sz w:val="30"/>
        </w:rPr>
        <w:t>是否已经提交</w:t>
      </w:r>
      <w:r>
        <w:rPr>
          <w:rFonts w:ascii="仿宋" w:hAnsi="仿宋" w:eastAsia="仿宋" w:cs="仿宋"/>
          <w:b w:val="0"/>
          <w:sz w:val="30"/>
        </w:rPr>
        <w:t>；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二、如已提交，</w:t>
      </w:r>
      <w:r>
        <w:rPr>
          <w:rFonts w:ascii="仿宋" w:hAnsi="仿宋" w:eastAsia="仿宋" w:cs="仿宋"/>
          <w:b/>
          <w:sz w:val="30"/>
        </w:rPr>
        <w:t>提交的具体日期、提交的具体内容</w:t>
      </w:r>
      <w:r>
        <w:rPr>
          <w:rFonts w:ascii="仿宋" w:hAnsi="仿宋" w:eastAsia="仿宋" w:cs="仿宋"/>
          <w:b w:val="0"/>
          <w:sz w:val="30"/>
        </w:rPr>
        <w:t>；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三、如已提交，</w:t>
      </w:r>
      <w:r>
        <w:rPr>
          <w:rFonts w:ascii="仿宋" w:hAnsi="仿宋" w:eastAsia="仿宋" w:cs="仿宋"/>
          <w:b/>
          <w:sz w:val="30"/>
        </w:rPr>
        <w:t>是否向原告（本案上诉人）送达</w:t>
      </w:r>
      <w:r>
        <w:rPr>
          <w:rFonts w:ascii="仿宋" w:hAnsi="仿宋" w:eastAsia="仿宋" w:cs="仿宋"/>
          <w:b w:val="0"/>
          <w:sz w:val="30"/>
        </w:rPr>
        <w:t>，有无送达回证；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四、如已提交，</w:t>
      </w:r>
      <w:r>
        <w:rPr>
          <w:rFonts w:ascii="仿宋" w:hAnsi="仿宋" w:eastAsia="仿宋" w:cs="仿宋"/>
          <w:b/>
          <w:sz w:val="30"/>
        </w:rPr>
        <w:t>一审法院是否组织过质证</w:t>
      </w:r>
      <w:r>
        <w:rPr>
          <w:rFonts w:ascii="仿宋" w:hAnsi="仿宋" w:eastAsia="仿宋" w:cs="仿宋"/>
          <w:b w:val="0"/>
          <w:sz w:val="30"/>
        </w:rPr>
        <w:t>，有无质证笔录；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五、一审判决所认定的"原告未举证证明该关联关系对招投标结果产生实质性影响"这一结论，</w:t>
      </w:r>
      <w:r>
        <w:rPr>
          <w:rFonts w:ascii="仿宋" w:hAnsi="仿宋" w:eastAsia="仿宋" w:cs="仿宋"/>
          <w:b/>
          <w:sz w:val="30"/>
        </w:rPr>
        <w:t>是否使用了上述材料</w:t>
      </w:r>
      <w:r>
        <w:rPr>
          <w:rFonts w:ascii="仿宋" w:hAnsi="仿宋" w:eastAsia="仿宋" w:cs="仿宋"/>
          <w:b w:val="0"/>
          <w:sz w:val="30"/>
        </w:rPr>
        <w:t>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同时请求：对未经上诉人质证的庭后材料，</w:t>
      </w:r>
      <w:r>
        <w:rPr>
          <w:rFonts w:ascii="仿宋" w:hAnsi="仿宋" w:eastAsia="仿宋" w:cs="仿宋"/>
          <w:b/>
          <w:sz w:val="30"/>
        </w:rPr>
        <w:t>依法不得作为认定本案事实的根据</w:t>
      </w:r>
      <w:r>
        <w:rPr>
          <w:rFonts w:ascii="仿宋" w:hAnsi="仿宋" w:eastAsia="仿宋" w:cs="仿宋"/>
          <w:b w:val="0"/>
          <w:sz w:val="30"/>
        </w:rPr>
        <w:t>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事实与理由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一、一审法院曾两次当庭指令被告庭后限期提交书面回复，该指令记载于庭审笔录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一审庭审笔录第3页末段记载：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"原代：请被告二确认代表贵公司在A区前期物业合同上签字的赵力在签约时担任什职位？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被1代：不清楚。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被2代：代理人不清楚。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审：被告应于庭后五个工作日内向本院予以回复。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被1/2代：好的。"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同笔录第4页首段记载：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"原代：请问被告一是否知晓在同一份前期物业合同中，中标方、招标方签字的都是赵力？……〔负责人都是赵力？〕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被1代：代理人不清楚。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/>
          <w:sz w:val="30"/>
        </w:rPr>
        <w:t>审：被告应于庭后五个工作日内向本院予以回复。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被1/2代：好的。"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上述两项指令表明，</w:t>
      </w:r>
      <w:r>
        <w:rPr>
          <w:rFonts w:ascii="仿宋" w:hAnsi="仿宋" w:eastAsia="仿宋" w:cs="仿宋"/>
          <w:b/>
          <w:sz w:val="30"/>
        </w:rPr>
        <w:t>一审法院自身认为赵力在案涉合同签订时的任职情况、以及被告是否知晓招标方与中标方负责人同为赵力，属于本案审理所必需查明的事实</w:t>
      </w:r>
      <w:r>
        <w:rPr>
          <w:rFonts w:ascii="仿宋" w:hAnsi="仿宋" w:eastAsia="仿宋" w:cs="仿宋"/>
          <w:b w:val="0"/>
          <w:sz w:val="30"/>
        </w:rPr>
        <w:t>；同时表明，该等事实的证据材料完全处于被告的控制范围之内（系被告自身的人事任免与签约情况），被告当庭无法说明。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二、上诉人至今未收到任何该等书面回复，亦从未对其质证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自一审庭审（2026年3月4日）至一审判决作出（2026年4月14日），再至本案二审，</w:t>
      </w:r>
      <w:r>
        <w:rPr>
          <w:rFonts w:ascii="仿宋" w:hAnsi="仿宋" w:eastAsia="仿宋" w:cs="仿宋"/>
          <w:b/>
          <w:sz w:val="30"/>
        </w:rPr>
        <w:t>上诉人从未收到被告依上述指令提交的任何书面回复，一审法院亦从未就该等材料组织过质证。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三、一审判决却就该项事实作出了对上诉人不利的认定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一审判决第12页认定：</w:t>
      </w:r>
    </w:p>
    <w:p>
      <w:pPr>
        <w:spacing w:lineRule="exact" w:line="560" w:before="60" w:after="60"/>
        <w:ind w:left="600"/>
      </w:pPr>
      <w:r>
        <w:rPr>
          <w:rFonts w:ascii="仿宋" w:hAnsi="仿宋" w:eastAsia="仿宋" w:cs="仿宋"/>
          <w:b w:val="0"/>
          <w:sz w:val="30"/>
        </w:rPr>
        <w:t>"然</w:t>
      </w:r>
      <w:r>
        <w:rPr>
          <w:rFonts w:ascii="仿宋" w:hAnsi="仿宋" w:eastAsia="仿宋" w:cs="仿宋"/>
          <w:b/>
          <w:sz w:val="30"/>
        </w:rPr>
        <w:t>原告未举证证明该关联关系对招投标结果产生实质性影响</w:t>
      </w:r>
      <w:r>
        <w:rPr>
          <w:rFonts w:ascii="仿宋" w:hAnsi="仿宋" w:eastAsia="仿宋" w:cs="仿宋"/>
          <w:b w:val="0"/>
          <w:sz w:val="30"/>
        </w:rPr>
        <w:t>，亦未证明招投标程序违反《招标投标法实施条例》第三十四条……"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即：一审法院自己认为需要查明、并两次限期要求</w:t>
      </w:r>
      <w:r>
        <w:rPr>
          <w:rFonts w:ascii="仿宋" w:hAnsi="仿宋" w:eastAsia="仿宋" w:cs="仿宋"/>
          <w:b/>
          <w:sz w:val="30"/>
        </w:rPr>
        <w:t>被告</w:t>
      </w:r>
      <w:r>
        <w:rPr>
          <w:rFonts w:ascii="仿宋" w:hAnsi="仿宋" w:eastAsia="仿宋" w:cs="仿宋"/>
          <w:b w:val="0"/>
          <w:sz w:val="30"/>
        </w:rPr>
        <w:t>补充说明的事实，最终以"</w:t>
      </w:r>
      <w:r>
        <w:rPr>
          <w:rFonts w:ascii="仿宋" w:hAnsi="仿宋" w:eastAsia="仿宋" w:cs="仿宋"/>
          <w:b/>
          <w:sz w:val="30"/>
        </w:rPr>
        <w:t>原告</w:t>
      </w:r>
      <w:r>
        <w:rPr>
          <w:rFonts w:ascii="仿宋" w:hAnsi="仿宋" w:eastAsia="仿宋" w:cs="仿宋"/>
          <w:b w:val="0"/>
          <w:sz w:val="30"/>
        </w:rPr>
        <w:t>未举证证明"为由，将举证不能的不利后果判归上诉人承担。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四、无论上述材料是否提交，一审的处理均存在法律上的问题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（一）如该等回复已经提交，但未送达上诉人、未组织质证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《中华人民共和国民事诉讼法》第七十一条规定："证据应当在法庭上出示，由当事人互相质证。"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《最高人民法院关于适用〈中华人民共和国民事诉讼法〉的解释》第一百零三条第一款规定："证据应当在法庭上出示，由当事人质证。</w:t>
      </w:r>
      <w:r>
        <w:rPr>
          <w:rFonts w:ascii="仿宋" w:hAnsi="仿宋" w:eastAsia="仿宋" w:cs="仿宋"/>
          <w:b/>
          <w:sz w:val="30"/>
        </w:rPr>
        <w:t>未经当事人质证的证据，不得作为认定案件事实的根据。</w:t>
      </w:r>
      <w:r>
        <w:rPr>
          <w:rFonts w:ascii="仿宋" w:hAnsi="仿宋" w:eastAsia="仿宋" w:cs="仿宋"/>
          <w:b w:val="0"/>
          <w:sz w:val="30"/>
        </w:rPr>
        <w:t>"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该等回复直接指向一审判决赖以驳回上诉人诉讼请求的核心事实，属于关键证据。未经质证即被采用，剥夺了上诉人就该关键证据发表意见的权利，符合《民诉法解释》第三百二十三条第四项所称"违法剥夺当事人辩论权利"的情形，应依《中华人民共和国民事诉讼法》第一百七十七条第一款第四项处理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（二）如该等回复根本未提交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则一审法院自认必要、并两次限期要求补充的事实，自始至终未获查明；在该事实未查明的情况下，径行作出"原告未举证证明该关联关系对招投标结果产生实质性影响"的否定性认定，属于</w:t>
      </w:r>
      <w:r>
        <w:rPr>
          <w:rFonts w:ascii="仿宋" w:hAnsi="仿宋" w:eastAsia="仿宋" w:cs="仿宋"/>
          <w:b/>
          <w:sz w:val="30"/>
        </w:rPr>
        <w:t>认定基本事实不清</w:t>
      </w:r>
      <w:r>
        <w:rPr>
          <w:rFonts w:ascii="仿宋" w:hAnsi="仿宋" w:eastAsia="仿宋" w:cs="仿宋"/>
          <w:b w:val="0"/>
          <w:sz w:val="30"/>
        </w:rPr>
        <w:t>，应依《中华人民共和国民事诉讼法》第一百七十七条第一款第三项处理。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同时构成</w:t>
      </w:r>
      <w:r>
        <w:rPr>
          <w:rFonts w:ascii="仿宋" w:hAnsi="仿宋" w:eastAsia="仿宋" w:cs="仿宋"/>
          <w:b/>
          <w:sz w:val="30"/>
        </w:rPr>
        <w:t>举证责任分配错误</w:t>
      </w:r>
      <w:r>
        <w:rPr>
          <w:rFonts w:ascii="仿宋" w:hAnsi="仿宋" w:eastAsia="仿宋" w:cs="仿宋"/>
          <w:b w:val="0"/>
          <w:sz w:val="30"/>
        </w:rPr>
        <w:t>：《招标投标法实施条例》第三十四条第一款的构成要件是"与招标人存在利害关系</w:t>
      </w:r>
      <w:r>
        <w:rPr>
          <w:rFonts w:ascii="仿宋" w:hAnsi="仿宋" w:eastAsia="仿宋" w:cs="仿宋"/>
          <w:b/>
          <w:sz w:val="30"/>
        </w:rPr>
        <w:t>可能</w:t>
      </w:r>
      <w:r>
        <w:rPr>
          <w:rFonts w:ascii="仿宋" w:hAnsi="仿宋" w:eastAsia="仿宋" w:cs="仿宋"/>
          <w:b w:val="0"/>
          <w:sz w:val="30"/>
        </w:rPr>
        <w:t>影响招标公正性"，属风险要件，不以证明实际影响结果为要件；而赵力的任职情况、是否设有回避与信息隔离安排等事实，均处于被告控制范围之内，上诉人客观上无从取得。一审将该等事实的举证不能后果判归上诉人，与《中华人民共和国民事诉讼法》第六十七条第三款"人民法院应当按照法定程序，全面地、客观地审查核实证据"的要求不符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五、本项查明具有不可替代的紧迫性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上述事项</w:t>
      </w:r>
      <w:r>
        <w:rPr>
          <w:rFonts w:ascii="仿宋" w:hAnsi="仿宋" w:eastAsia="仿宋" w:cs="仿宋"/>
          <w:b/>
          <w:sz w:val="30"/>
        </w:rPr>
        <w:t>仅能通过调阅一审卷宗查明，卷外无从核实</w:t>
      </w:r>
      <w:r>
        <w:rPr>
          <w:rFonts w:ascii="仿宋" w:hAnsi="仿宋" w:eastAsia="仿宋" w:cs="仿宋"/>
          <w:b w:val="0"/>
          <w:sz w:val="30"/>
        </w:rPr>
        <w:t>。该事项直接决定本案应适用《中华人民共和国民事诉讼法》第一百七十七条第一款第三项还是第四项，而两项的法律后果并不相同——第四项的法律后果仅有"裁定撤销原判决，发回原审人民法院重审"一种。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为此，特申请人民法院当庭调阅卷宗查明上述事项，并将查明结果记入庭审笔录。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此　致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长沙市中级人民法院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申请人：李国平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委托诉讼代理人：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二〇二六年九月十日</w:t>
      </w:r>
    </w:p>
    <w:sectPr w:rsidR="00FC693F" w:rsidRPr="0006063C" w:rsidSect="00034616">
      <w:footerReference w:type="default" r:id="rId9"/>
      <w:pgSz w:w="11906" w:h="16838"/>
      <w:pgMar w:top="1417" w:right="1474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仿宋" w:hAnsi="仿宋" w:eastAsia="仿宋" w:cs="仿宋"/>
        <w:b w:val="0"/>
        <w:sz w:val="21"/>
      </w:rPr>
      <w:t xml:space="preserve">— </w:t>
    </w:r>
    <w:fldSimple w:instr="PAGE">
      <w:r>
        <w:rPr>
          <w:rFonts w:ascii="仿宋" w:hAnsi="仿宋" w:eastAsia="仿宋"/>
          <w:sz w:val="21"/>
        </w:rPr>
      </w:r>
    </w:fldSimple>
    <w:r>
      <w:rPr>
        <w:rFonts w:ascii="仿宋" w:hAnsi="仿宋" w:eastAsia="仿宋" w:cs="仿宋"/>
        <w:b w:val="0"/>
        <w:sz w:val="21"/>
      </w:rPr>
      <w:t xml:space="preserve"> 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