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before="120" w:after="200"/>
        <w:jc w:val="center"/>
      </w:pPr>
      <w:r>
        <w:rPr>
          <w:rFonts w:ascii="宋体" w:hAnsi="宋体" w:eastAsia="宋体" w:cs="宋体"/>
          <w:b/>
          <w:sz w:val="44"/>
        </w:rPr>
        <w:t>民事二审补充证据目录</w:t>
      </w:r>
    </w:p>
    <w:p>
      <w:pPr>
        <w:spacing w:lineRule="exact" w:line="560" w:before="0" w:after="280"/>
        <w:jc w:val="center"/>
      </w:pPr>
      <w:r>
        <w:rPr>
          <w:rFonts w:ascii="仿宋" w:hAnsi="仿宋" w:eastAsia="仿宋" w:cs="仿宋"/>
          <w:b w:val="0"/>
          <w:sz w:val="26"/>
        </w:rPr>
        <w:t>（2026）湘01民终13074号</w:t>
      </w:r>
    </w:p>
    <w:p>
      <w:pPr>
        <w:spacing w:lineRule="exact" w:line="560" w:before="40" w:after="40"/>
        <w:ind w:firstLine="600"/>
        <w:jc w:val="both"/>
      </w:pPr>
      <w:r>
        <w:rPr>
          <w:rFonts w:ascii="仿宋" w:hAnsi="仿宋" w:eastAsia="仿宋" w:cs="仿宋"/>
          <w:b/>
          <w:sz w:val="30"/>
        </w:rPr>
        <w:t>案　　号：</w:t>
      </w:r>
      <w:r>
        <w:rPr>
          <w:rFonts w:ascii="仿宋" w:hAnsi="仿宋" w:eastAsia="仿宋" w:cs="仿宋"/>
          <w:b w:val="0"/>
          <w:sz w:val="30"/>
        </w:rPr>
        <w:t xml:space="preserve"> （2026）湘01民终13074号</w:t>
      </w:r>
    </w:p>
    <w:p>
      <w:pPr>
        <w:spacing w:lineRule="exact" w:line="560" w:before="40" w:after="40"/>
        <w:ind w:firstLine="600"/>
        <w:jc w:val="both"/>
      </w:pPr>
      <w:r>
        <w:rPr>
          <w:rFonts w:ascii="仿宋" w:hAnsi="仿宋" w:eastAsia="仿宋" w:cs="仿宋"/>
          <w:b/>
          <w:sz w:val="30"/>
        </w:rPr>
        <w:t>上 诉 人：</w:t>
      </w:r>
      <w:r>
        <w:rPr>
          <w:rFonts w:ascii="仿宋" w:hAnsi="仿宋" w:eastAsia="仿宋" w:cs="仿宋"/>
          <w:b w:val="0"/>
          <w:sz w:val="30"/>
        </w:rPr>
        <w:t xml:space="preserve"> 李国平</w:t>
      </w:r>
    </w:p>
    <w:p>
      <w:pPr>
        <w:spacing w:lineRule="exact" w:line="560" w:before="40" w:after="40"/>
        <w:ind w:firstLine="600"/>
        <w:jc w:val="both"/>
      </w:pPr>
      <w:r>
        <w:rPr>
          <w:rFonts w:ascii="仿宋" w:hAnsi="仿宋" w:eastAsia="仿宋" w:cs="仿宋"/>
          <w:b/>
          <w:sz w:val="30"/>
        </w:rPr>
        <w:t>被上诉人：</w:t>
      </w:r>
      <w:r>
        <w:rPr>
          <w:rFonts w:ascii="仿宋" w:hAnsi="仿宋" w:eastAsia="仿宋" w:cs="仿宋"/>
          <w:b w:val="0"/>
          <w:sz w:val="30"/>
        </w:rPr>
        <w:t xml:space="preserve"> 中铁建物业管理有限公司长沙分公司</w:t>
      </w:r>
    </w:p>
    <w:p>
      <w:pPr>
        <w:spacing w:lineRule="exact" w:line="560" w:before="40" w:after="40"/>
        <w:ind w:firstLine="600"/>
        <w:jc w:val="both"/>
      </w:pPr>
      <w:r>
        <w:rPr>
          <w:rFonts w:ascii="仿宋" w:hAnsi="仿宋" w:eastAsia="仿宋" w:cs="仿宋"/>
          <w:b/>
          <w:sz w:val="30"/>
        </w:rPr>
        <w:t>被上诉人：</w:t>
      </w:r>
      <w:r>
        <w:rPr>
          <w:rFonts w:ascii="仿宋" w:hAnsi="仿宋" w:eastAsia="仿宋" w:cs="仿宋"/>
          <w:b w:val="0"/>
          <w:sz w:val="30"/>
        </w:rPr>
        <w:t xml:space="preserve"> 中铁房地产集团长沙置业有限公司</w:t>
      </w:r>
    </w:p>
    <w:p>
      <w:pPr>
        <w:spacing w:lineRule="exact" w:line="560" w:before="40" w:after="40"/>
        <w:ind w:firstLine="600"/>
        <w:jc w:val="both"/>
      </w:pPr>
      <w:r>
        <w:rPr>
          <w:rFonts w:ascii="仿宋" w:hAnsi="仿宋" w:eastAsia="仿宋" w:cs="仿宋"/>
          <w:b/>
          <w:sz w:val="30"/>
        </w:rPr>
        <w:t>案　　由：</w:t>
      </w:r>
      <w:r>
        <w:rPr>
          <w:rFonts w:ascii="仿宋" w:hAnsi="仿宋" w:eastAsia="仿宋" w:cs="仿宋"/>
          <w:b w:val="0"/>
          <w:sz w:val="30"/>
        </w:rPr>
        <w:t xml:space="preserve"> 确认合同无效纠纷</w:t>
      </w:r>
    </w:p>
    <w:p>
      <w:pPr>
        <w:spacing w:lineRule="exact" w:line="560" w:before="40" w:after="40"/>
        <w:ind w:firstLine="600"/>
        <w:jc w:val="both"/>
      </w:pPr>
      <w:r>
        <w:rPr>
          <w:rFonts w:ascii="仿宋" w:hAnsi="仿宋" w:eastAsia="仿宋" w:cs="仿宋"/>
          <w:b/>
          <w:sz w:val="30"/>
        </w:rPr>
        <w:t>提交日期：</w:t>
      </w:r>
      <w:r>
        <w:rPr>
          <w:rFonts w:ascii="仿宋" w:hAnsi="仿宋" w:eastAsia="仿宋" w:cs="仿宋"/>
          <w:b w:val="0"/>
          <w:sz w:val="30"/>
        </w:rPr>
        <w:t xml:space="preserve"> 2026年9月10日</w:t>
      </w:r>
    </w:p>
    <w:p>
      <w:pPr>
        <w:spacing w:lineRule="exact" w:line="560" w:before="160" w:after="80"/>
      </w:pPr>
      <w:r>
        <w:rPr>
          <w:rFonts w:ascii="仿宋" w:hAnsi="仿宋" w:eastAsia="仿宋" w:cs="仿宋"/>
          <w:b/>
          <w:sz w:val="30"/>
        </w:rPr>
        <w:t>上诉请求（对应本目录的证明方向）</w:t>
      </w:r>
    </w:p>
    <w:p>
      <w:pPr>
        <w:spacing w:lineRule="exact" w:line="560" w:before="40" w:after="40"/>
        <w:ind w:firstLine="600"/>
        <w:jc w:val="both"/>
      </w:pPr>
      <w:r>
        <w:rPr>
          <w:rFonts w:ascii="仿宋" w:hAnsi="仿宋" w:eastAsia="仿宋" w:cs="仿宋"/>
          <w:b w:val="0"/>
          <w:sz w:val="30"/>
        </w:rPr>
        <w:t>一、撤销（2025）湘0105民初27046号民事判决，发回长沙市开福区人民法院重审；</w:t>
      </w:r>
    </w:p>
    <w:p>
      <w:pPr>
        <w:spacing w:lineRule="exact" w:line="560" w:before="40" w:after="40"/>
        <w:ind w:firstLine="600"/>
        <w:jc w:val="both"/>
      </w:pPr>
      <w:r>
        <w:rPr>
          <w:rFonts w:ascii="仿宋" w:hAnsi="仿宋" w:eastAsia="仿宋" w:cs="仿宋"/>
          <w:b w:val="0"/>
          <w:sz w:val="30"/>
        </w:rPr>
        <w:t>二、如二审认为基本事实已经查清，改判确认案涉A区、B/C区《前期物业服务合同》自始无效。</w:t>
      </w:r>
    </w:p>
    <w:p>
      <w:pPr>
        <w:spacing w:lineRule="exact" w:line="560" w:before="280" w:after="160"/>
        <w:jc w:val="center"/>
      </w:pPr>
      <w:r>
        <w:rPr>
          <w:rFonts w:ascii="仿宋" w:hAnsi="仿宋" w:eastAsia="仿宋" w:cs="仿宋"/>
          <w:b/>
          <w:sz w:val="30"/>
        </w:rPr>
        <w:t>第一部分　补充提交的证据</w:t>
      </w:r>
    </w:p>
    <w:p>
      <w:pPr>
        <w:spacing w:lineRule="exact" w:line="560" w:before="60" w:after="60"/>
        <w:ind w:left="600"/>
      </w:pPr>
      <w:r>
        <w:rPr>
          <w:rFonts w:ascii="仿宋" w:hAnsi="仿宋" w:eastAsia="仿宋" w:cs="仿宋"/>
          <w:b w:val="0"/>
          <w:sz w:val="30"/>
        </w:rPr>
        <w:t>以下各项均为</w:t>
      </w:r>
      <w:r>
        <w:rPr>
          <w:rFonts w:ascii="仿宋" w:hAnsi="仿宋" w:eastAsia="仿宋" w:cs="仿宋"/>
          <w:b/>
          <w:sz w:val="30"/>
        </w:rPr>
        <w:t>一审判决作出（2026年4月14日）之后</w:t>
      </w:r>
      <w:r>
        <w:rPr>
          <w:rFonts w:ascii="仿宋" w:hAnsi="仿宋" w:eastAsia="仿宋" w:cs="仿宋"/>
          <w:b w:val="0"/>
          <w:sz w:val="30"/>
        </w:rPr>
        <w:t>才形成或才取得的材料，依《最高人民法院关于适用〈中华人民共和国民事诉讼法〉的解释》第一百零二条第四款及《最高人民法院关于民事诉讼证据的若干规定》第五十一条，属于二审新的证据。</w:t>
      </w:r>
    </w:p>
    <w:p>
      <w:pPr>
        <w:spacing w:lineRule="exact" w:line="560" w:before="160" w:after="80"/>
      </w:pPr>
      <w:r>
        <w:rPr>
          <w:rFonts w:ascii="仿宋" w:hAnsi="仿宋" w:eastAsia="仿宋" w:cs="仿宋"/>
          <w:b/>
          <w:sz w:val="30"/>
        </w:rPr>
        <w:t>第一组　证明上诉人房屋所在区位，原判对该基本事实认定错误</w:t>
      </w:r>
    </w:p>
    <w:tbl>
      <w:tblPr>
        <w:tblW w:type="auto" w:w="0"/>
        <w:jc w:val="center"/>
        <w:tblLayout w:type="autofit"/>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1746"/>
        <w:gridCol w:w="1746"/>
        <w:gridCol w:w="1746"/>
        <w:gridCol w:w="1746"/>
        <w:gridCol w:w="1746"/>
      </w:tblGrid>
      <w:tr>
        <w:tc>
          <w:tcPr>
            <w:tcW w:type="dxa" w:w="1746"/>
          </w:tcPr>
          <w:p>
            <w:pPr>
              <w:spacing w:lineRule="auto" w:line="240" w:before="20" w:after="20"/>
            </w:pPr>
            <w:r/>
            <w:r>
              <w:rPr>
                <w:rFonts w:ascii="仿宋" w:hAnsi="仿宋" w:eastAsia="仿宋" w:cs="仿宋"/>
                <w:b/>
                <w:sz w:val="21"/>
              </w:rPr>
              <w:t>序号</w:t>
            </w:r>
          </w:p>
        </w:tc>
        <w:tc>
          <w:tcPr>
            <w:tcW w:type="dxa" w:w="1746"/>
          </w:tcPr>
          <w:p>
            <w:pPr>
              <w:spacing w:lineRule="auto" w:line="240" w:before="20" w:after="20"/>
            </w:pPr>
            <w:r/>
            <w:r>
              <w:rPr>
                <w:rFonts w:ascii="仿宋" w:hAnsi="仿宋" w:eastAsia="仿宋" w:cs="仿宋"/>
                <w:b/>
                <w:sz w:val="21"/>
              </w:rPr>
              <w:t>证据名称</w:t>
            </w:r>
          </w:p>
        </w:tc>
        <w:tc>
          <w:tcPr>
            <w:tcW w:type="dxa" w:w="1746"/>
          </w:tcPr>
          <w:p>
            <w:pPr>
              <w:spacing w:lineRule="auto" w:line="240" w:before="20" w:after="20"/>
            </w:pPr>
            <w:r/>
            <w:r>
              <w:rPr>
                <w:rFonts w:ascii="仿宋" w:hAnsi="仿宋" w:eastAsia="仿宋" w:cs="仿宋"/>
                <w:b/>
                <w:sz w:val="21"/>
              </w:rPr>
              <w:t>形式</w:t>
            </w:r>
          </w:p>
        </w:tc>
        <w:tc>
          <w:tcPr>
            <w:tcW w:type="dxa" w:w="1746"/>
          </w:tcPr>
          <w:p>
            <w:pPr>
              <w:spacing w:lineRule="auto" w:line="240" w:before="20" w:after="20"/>
            </w:pPr>
            <w:r/>
            <w:r>
              <w:rPr>
                <w:rFonts w:ascii="仿宋" w:hAnsi="仿宋" w:eastAsia="仿宋" w:cs="仿宋"/>
                <w:b/>
                <w:sz w:val="21"/>
              </w:rPr>
              <w:t>页数</w:t>
            </w:r>
          </w:p>
        </w:tc>
        <w:tc>
          <w:tcPr>
            <w:tcW w:type="dxa" w:w="1746"/>
          </w:tcPr>
          <w:p>
            <w:pPr>
              <w:spacing w:lineRule="auto" w:line="240" w:before="20" w:after="20"/>
            </w:pPr>
            <w:r/>
            <w:r>
              <w:rPr>
                <w:rFonts w:ascii="仿宋" w:hAnsi="仿宋" w:eastAsia="仿宋" w:cs="仿宋"/>
                <w:b/>
                <w:sz w:val="21"/>
              </w:rPr>
              <w:t>证明目的</w:t>
            </w:r>
          </w:p>
        </w:tc>
      </w:tr>
      <w:tr>
        <w:tc>
          <w:tcPr>
            <w:tcW w:type="dxa" w:w="1746"/>
          </w:tcPr>
          <w:p>
            <w:pPr>
              <w:spacing w:lineRule="auto" w:line="240" w:before="20" w:after="20"/>
            </w:pPr>
            <w:r/>
            <w:r>
              <w:rPr>
                <w:rFonts w:ascii="仿宋" w:hAnsi="仿宋" w:eastAsia="仿宋" w:cs="仿宋"/>
                <w:b w:val="0"/>
                <w:sz w:val="21"/>
              </w:rPr>
              <w:t>1</w:t>
            </w:r>
          </w:p>
        </w:tc>
        <w:tc>
          <w:tcPr>
            <w:tcW w:type="dxa" w:w="1746"/>
          </w:tcPr>
          <w:p>
            <w:pPr>
              <w:spacing w:lineRule="auto" w:line="240" w:before="20" w:after="20"/>
            </w:pPr>
            <w:r/>
            <w:r>
              <w:rPr>
                <w:rFonts w:ascii="仿宋" w:hAnsi="仿宋" w:eastAsia="仿宋" w:cs="仿宋"/>
                <w:b w:val="0"/>
                <w:sz w:val="21"/>
              </w:rPr>
              <w:t>上诉人《不动产权证书》（湘〔2021〕长沙市不动产权第0403 67…号）及相邻登记页</w:t>
            </w:r>
          </w:p>
        </w:tc>
        <w:tc>
          <w:tcPr>
            <w:tcW w:type="dxa" w:w="1746"/>
          </w:tcPr>
          <w:p>
            <w:pPr>
              <w:spacing w:lineRule="auto" w:line="240" w:before="20" w:after="20"/>
            </w:pPr>
            <w:r/>
            <w:r>
              <w:rPr>
                <w:rFonts w:ascii="仿宋" w:hAnsi="仿宋" w:eastAsia="仿宋" w:cs="仿宋"/>
                <w:b w:val="0"/>
                <w:sz w:val="21"/>
              </w:rPr>
              <w:t>复印件（原件庭审出示）</w:t>
            </w:r>
          </w:p>
        </w:tc>
        <w:tc>
          <w:tcPr>
            <w:tcW w:type="dxa" w:w="1746"/>
          </w:tcPr>
          <w:p>
            <w:pPr>
              <w:spacing w:lineRule="auto" w:line="240" w:before="20" w:after="20"/>
            </w:pPr>
            <w:r/>
            <w:r>
              <w:rPr>
                <w:rFonts w:ascii="仿宋" w:hAnsi="仿宋" w:eastAsia="仿宋" w:cs="仿宋"/>
                <w:b w:val="0"/>
                <w:sz w:val="21"/>
              </w:rPr>
              <w:t>3</w:t>
            </w:r>
          </w:p>
        </w:tc>
        <w:tc>
          <w:tcPr>
            <w:tcW w:type="dxa" w:w="1746"/>
          </w:tcPr>
          <w:p>
            <w:pPr>
              <w:spacing w:lineRule="auto" w:line="240" w:before="20" w:after="20"/>
            </w:pPr>
            <w:r/>
            <w:r>
              <w:rPr>
                <w:rFonts w:ascii="仿宋" w:hAnsi="仿宋" w:eastAsia="仿宋" w:cs="仿宋"/>
                <w:b w:val="0"/>
                <w:sz w:val="21"/>
              </w:rPr>
              <w:t>上诉人房屋坐落为"开福区秀峰路80号</w:t>
            </w:r>
            <w:r>
              <w:rPr>
                <w:rFonts w:ascii="仿宋" w:hAnsi="仿宋" w:eastAsia="仿宋" w:cs="仿宋"/>
                <w:b/>
                <w:sz w:val="21"/>
              </w:rPr>
              <w:t>山语城三期12栋503</w:t>
            </w:r>
            <w:r>
              <w:rPr>
                <w:rFonts w:ascii="仿宋" w:hAnsi="仿宋" w:eastAsia="仿宋" w:cs="仿宋"/>
                <w:b w:val="0"/>
                <w:sz w:val="21"/>
              </w:rPr>
              <w:t>"，专有建筑面积84.52㎡、分摊27.86㎡、合计112.38㎡，权利性质为出让／棚改安置房。</w:t>
            </w:r>
            <w:r>
              <w:rPr>
                <w:rFonts w:ascii="仿宋" w:hAnsi="仿宋" w:eastAsia="仿宋" w:cs="仿宋"/>
                <w:b/>
                <w:sz w:val="21"/>
              </w:rPr>
              <w:t>该房屋位于12栋，不在A区《前期物业服务合同》的服务范围内。</w:t>
            </w:r>
          </w:p>
        </w:tc>
      </w:tr>
      <w:tr>
        <w:tc>
          <w:tcPr>
            <w:tcW w:type="dxa" w:w="1746"/>
          </w:tcPr>
          <w:p>
            <w:pPr>
              <w:spacing w:lineRule="auto" w:line="240" w:before="20" w:after="20"/>
            </w:pPr>
            <w:r/>
            <w:r>
              <w:rPr>
                <w:rFonts w:ascii="仿宋" w:hAnsi="仿宋" w:eastAsia="仿宋" w:cs="仿宋"/>
                <w:b w:val="0"/>
                <w:sz w:val="21"/>
              </w:rPr>
              <w:t>2</w:t>
            </w:r>
          </w:p>
        </w:tc>
        <w:tc>
          <w:tcPr>
            <w:tcW w:type="dxa" w:w="1746"/>
          </w:tcPr>
          <w:p>
            <w:pPr>
              <w:spacing w:lineRule="auto" w:line="240" w:before="20" w:after="20"/>
            </w:pPr>
            <w:r/>
            <w:r>
              <w:rPr>
                <w:rFonts w:ascii="仿宋" w:hAnsi="仿宋" w:eastAsia="仿宋" w:cs="仿宋"/>
                <w:b w:val="0"/>
                <w:sz w:val="21"/>
              </w:rPr>
              <w:t>（2026）湘8601行初374号《行政判决书》第2页</w:t>
            </w:r>
          </w:p>
        </w:tc>
        <w:tc>
          <w:tcPr>
            <w:tcW w:type="dxa" w:w="1746"/>
          </w:tcPr>
          <w:p>
            <w:pPr>
              <w:spacing w:lineRule="auto" w:line="240" w:before="20" w:after="20"/>
            </w:pPr>
            <w:r/>
            <w:r>
              <w:rPr>
                <w:rFonts w:ascii="仿宋" w:hAnsi="仿宋" w:eastAsia="仿宋" w:cs="仿宋"/>
                <w:b w:val="0"/>
                <w:sz w:val="21"/>
              </w:rPr>
              <w:t>复印件</w:t>
            </w:r>
          </w:p>
        </w:tc>
        <w:tc>
          <w:tcPr>
            <w:tcW w:type="dxa" w:w="1746"/>
          </w:tcPr>
          <w:p>
            <w:pPr>
              <w:spacing w:lineRule="auto" w:line="240" w:before="20" w:after="20"/>
            </w:pPr>
            <w:r/>
            <w:r>
              <w:rPr>
                <w:rFonts w:ascii="仿宋" w:hAnsi="仿宋" w:eastAsia="仿宋" w:cs="仿宋"/>
                <w:b w:val="0"/>
                <w:sz w:val="21"/>
              </w:rPr>
              <w:t>1</w:t>
            </w:r>
          </w:p>
        </w:tc>
        <w:tc>
          <w:tcPr>
            <w:tcW w:type="dxa" w:w="1746"/>
          </w:tcPr>
          <w:p>
            <w:pPr>
              <w:spacing w:lineRule="auto" w:line="240" w:before="20" w:after="20"/>
            </w:pPr>
            <w:r/>
            <w:r>
              <w:rPr>
                <w:rFonts w:ascii="仿宋" w:hAnsi="仿宋" w:eastAsia="仿宋" w:cs="仿宋"/>
                <w:b w:val="0"/>
                <w:sz w:val="21"/>
              </w:rPr>
              <w:t>长沙铁路运输法院认定："原告系长沙市开福区中国铁建</w:t>
            </w:r>
            <w:r>
              <w:rPr>
                <w:rFonts w:ascii="仿宋" w:hAnsi="仿宋" w:eastAsia="仿宋" w:cs="仿宋"/>
                <w:b/>
                <w:sz w:val="21"/>
              </w:rPr>
              <w:t>山语城三期12栋</w:t>
            </w:r>
            <w:r>
              <w:rPr>
                <w:rFonts w:ascii="仿宋" w:hAnsi="仿宋" w:eastAsia="仿宋" w:cs="仿宋"/>
                <w:b w:val="0"/>
                <w:sz w:val="21"/>
              </w:rPr>
              <w:t>的业主"。与证据1相互印证。</w:t>
            </w:r>
          </w:p>
        </w:tc>
      </w:tr>
      <w:tr>
        <w:tc>
          <w:tcPr>
            <w:tcW w:type="dxa" w:w="1746"/>
          </w:tcPr>
          <w:p>
            <w:pPr>
              <w:spacing w:lineRule="auto" w:line="240" w:before="20" w:after="20"/>
            </w:pPr>
            <w:r/>
            <w:r>
              <w:rPr>
                <w:rFonts w:ascii="仿宋" w:hAnsi="仿宋" w:eastAsia="仿宋" w:cs="仿宋"/>
                <w:b w:val="0"/>
                <w:sz w:val="21"/>
              </w:rPr>
              <w:t>3</w:t>
            </w:r>
          </w:p>
        </w:tc>
        <w:tc>
          <w:tcPr>
            <w:tcW w:type="dxa" w:w="1746"/>
          </w:tcPr>
          <w:p>
            <w:pPr>
              <w:spacing w:lineRule="auto" w:line="240" w:before="20" w:after="20"/>
            </w:pPr>
            <w:r/>
            <w:r>
              <w:rPr>
                <w:rFonts w:ascii="仿宋" w:hAnsi="仿宋" w:eastAsia="仿宋" w:cs="仿宋"/>
                <w:b w:val="0"/>
                <w:sz w:val="21"/>
              </w:rPr>
              <w:t>案涉项目分区与楼栋对应关系材料（A区住宅1#—5#、A区商业15#；11#、12#、13#属C组团）</w:t>
            </w:r>
          </w:p>
        </w:tc>
        <w:tc>
          <w:tcPr>
            <w:tcW w:type="dxa" w:w="1746"/>
          </w:tcPr>
          <w:p>
            <w:pPr>
              <w:spacing w:lineRule="auto" w:line="240" w:before="20" w:after="20"/>
            </w:pPr>
            <w:r/>
            <w:r>
              <w:rPr>
                <w:rFonts w:ascii="仿宋" w:hAnsi="仿宋" w:eastAsia="仿宋" w:cs="仿宋"/>
                <w:b w:val="0"/>
                <w:sz w:val="21"/>
              </w:rPr>
              <w:t>复印件</w:t>
            </w:r>
          </w:p>
        </w:tc>
        <w:tc>
          <w:tcPr>
            <w:tcW w:type="dxa" w:w="1746"/>
          </w:tcPr>
          <w:p>
            <w:pPr>
              <w:spacing w:lineRule="auto" w:line="240" w:before="20" w:after="20"/>
            </w:pPr>
            <w:r/>
            <w:r>
              <w:rPr>
                <w:rFonts w:ascii="仿宋" w:hAnsi="仿宋" w:eastAsia="仿宋" w:cs="仿宋"/>
                <w:b w:val="0"/>
                <w:sz w:val="21"/>
              </w:rPr>
              <w:t>依实际</w:t>
            </w:r>
          </w:p>
        </w:tc>
        <w:tc>
          <w:tcPr>
            <w:tcW w:type="dxa" w:w="1746"/>
          </w:tcPr>
          <w:p>
            <w:pPr>
              <w:spacing w:lineRule="auto" w:line="240" w:before="20" w:after="20"/>
            </w:pPr>
            <w:r/>
            <w:r>
              <w:rPr>
                <w:rFonts w:ascii="仿宋" w:hAnsi="仿宋" w:eastAsia="仿宋" w:cs="仿宋"/>
                <w:b w:val="0"/>
                <w:sz w:val="21"/>
              </w:rPr>
              <w:t>证明12栋归属C组团，即B/C区范围。</w:t>
            </w:r>
            <w:r>
              <w:rPr>
                <w:rFonts w:ascii="仿宋" w:hAnsi="仿宋" w:eastAsia="仿宋" w:cs="仿宋"/>
                <w:b/>
                <w:sz w:val="21"/>
              </w:rPr>
              <w:t>综合证据1至3：上诉人系B/C区业主。</w:t>
            </w:r>
          </w:p>
        </w:tc>
      </w:tr>
    </w:tbl>
    <w:p/>
    <w:p>
      <w:pPr>
        <w:spacing w:lineRule="exact" w:line="560" w:before="40" w:after="40"/>
        <w:ind w:firstLine="600"/>
        <w:jc w:val="both"/>
      </w:pPr>
      <w:r>
        <w:rPr>
          <w:rFonts w:ascii="仿宋" w:hAnsi="仿宋" w:eastAsia="仿宋" w:cs="仿宋"/>
          <w:b/>
          <w:sz w:val="30"/>
        </w:rPr>
        <w:t>本组综合证明目的：</w:t>
      </w:r>
    </w:p>
    <w:p>
      <w:pPr>
        <w:spacing w:lineRule="exact" w:line="560" w:before="40" w:after="40"/>
        <w:ind w:firstLine="600"/>
        <w:jc w:val="both"/>
      </w:pPr>
      <w:r>
        <w:rPr>
          <w:rFonts w:ascii="仿宋" w:hAnsi="仿宋" w:eastAsia="仿宋" w:cs="仿宋"/>
          <w:b w:val="0"/>
          <w:sz w:val="30"/>
        </w:rPr>
        <w:t>一审判决第9页"本院认定事实"第一项认定"原告系长沙市开福区山语城三期小区</w:t>
      </w:r>
      <w:r>
        <w:rPr>
          <w:rFonts w:ascii="仿宋" w:hAnsi="仿宋" w:eastAsia="仿宋" w:cs="仿宋"/>
          <w:b/>
          <w:sz w:val="30"/>
        </w:rPr>
        <w:t>A区</w:t>
      </w:r>
      <w:r>
        <w:rPr>
          <w:rFonts w:ascii="仿宋" w:hAnsi="仿宋" w:eastAsia="仿宋" w:cs="仿宋"/>
          <w:b w:val="0"/>
          <w:sz w:val="30"/>
        </w:rPr>
        <w:t>业主"，与上述证据及被上诉人一在一审庭审中的自认均不相符，属对基本事实的认定错误。上诉人房屋所在区位，系确定其对A区合同、B/C区合同</w:t>
      </w:r>
      <w:r>
        <w:rPr>
          <w:rFonts w:ascii="仿宋" w:hAnsi="仿宋" w:eastAsia="仿宋" w:cs="仿宋"/>
          <w:b/>
          <w:sz w:val="30"/>
        </w:rPr>
        <w:t>分别</w:t>
      </w:r>
      <w:r>
        <w:rPr>
          <w:rFonts w:ascii="仿宋" w:hAnsi="仿宋" w:eastAsia="仿宋" w:cs="仿宋"/>
          <w:b w:val="0"/>
          <w:sz w:val="30"/>
        </w:rPr>
        <w:t>有无诉的利益的前提事实，属《民诉法解释》第三百三十三条所称"用以确定当事人主体资格……对原判决结果有实质性影响的事实"。补正裁定采取删除"A区"二字而非更正的方式处理，致使判决文本在补正后不再记载上诉人房屋所在的任何区位。</w:t>
      </w:r>
    </w:p>
    <w:p>
      <w:pPr>
        <w:spacing w:lineRule="exact" w:line="560" w:before="160" w:after="80"/>
      </w:pPr>
      <w:r>
        <w:rPr>
          <w:rFonts w:ascii="仿宋" w:hAnsi="仿宋" w:eastAsia="仿宋" w:cs="仿宋"/>
          <w:b/>
          <w:sz w:val="30"/>
        </w:rPr>
        <w:t>第二组　证明中标主体与合同签约主体不一致，且原判未予查明</w:t>
      </w:r>
    </w:p>
    <w:tbl>
      <w:tblPr>
        <w:tblW w:type="auto" w:w="0"/>
        <w:jc w:val="center"/>
        <w:tblLayout w:type="autofit"/>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1746"/>
        <w:gridCol w:w="1746"/>
        <w:gridCol w:w="1746"/>
        <w:gridCol w:w="1746"/>
        <w:gridCol w:w="1746"/>
      </w:tblGrid>
      <w:tr>
        <w:tc>
          <w:tcPr>
            <w:tcW w:type="dxa" w:w="1746"/>
          </w:tcPr>
          <w:p>
            <w:pPr>
              <w:spacing w:lineRule="auto" w:line="240" w:before="20" w:after="20"/>
            </w:pPr>
            <w:r/>
            <w:r>
              <w:rPr>
                <w:rFonts w:ascii="仿宋" w:hAnsi="仿宋" w:eastAsia="仿宋" w:cs="仿宋"/>
                <w:b/>
                <w:sz w:val="21"/>
              </w:rPr>
              <w:t>序号</w:t>
            </w:r>
          </w:p>
        </w:tc>
        <w:tc>
          <w:tcPr>
            <w:tcW w:type="dxa" w:w="1746"/>
          </w:tcPr>
          <w:p>
            <w:pPr>
              <w:spacing w:lineRule="auto" w:line="240" w:before="20" w:after="20"/>
            </w:pPr>
            <w:r/>
            <w:r>
              <w:rPr>
                <w:rFonts w:ascii="仿宋" w:hAnsi="仿宋" w:eastAsia="仿宋" w:cs="仿宋"/>
                <w:b/>
                <w:sz w:val="21"/>
              </w:rPr>
              <w:t>证据名称</w:t>
            </w:r>
          </w:p>
        </w:tc>
        <w:tc>
          <w:tcPr>
            <w:tcW w:type="dxa" w:w="1746"/>
          </w:tcPr>
          <w:p>
            <w:pPr>
              <w:spacing w:lineRule="auto" w:line="240" w:before="20" w:after="20"/>
            </w:pPr>
            <w:r/>
            <w:r>
              <w:rPr>
                <w:rFonts w:ascii="仿宋" w:hAnsi="仿宋" w:eastAsia="仿宋" w:cs="仿宋"/>
                <w:b/>
                <w:sz w:val="21"/>
              </w:rPr>
              <w:t>形式</w:t>
            </w:r>
          </w:p>
        </w:tc>
        <w:tc>
          <w:tcPr>
            <w:tcW w:type="dxa" w:w="1746"/>
          </w:tcPr>
          <w:p>
            <w:pPr>
              <w:spacing w:lineRule="auto" w:line="240" w:before="20" w:after="20"/>
            </w:pPr>
            <w:r/>
            <w:r>
              <w:rPr>
                <w:rFonts w:ascii="仿宋" w:hAnsi="仿宋" w:eastAsia="仿宋" w:cs="仿宋"/>
                <w:b/>
                <w:sz w:val="21"/>
              </w:rPr>
              <w:t>页数</w:t>
            </w:r>
          </w:p>
        </w:tc>
        <w:tc>
          <w:tcPr>
            <w:tcW w:type="dxa" w:w="1746"/>
          </w:tcPr>
          <w:p>
            <w:pPr>
              <w:spacing w:lineRule="auto" w:line="240" w:before="20" w:after="20"/>
            </w:pPr>
            <w:r/>
            <w:r>
              <w:rPr>
                <w:rFonts w:ascii="仿宋" w:hAnsi="仿宋" w:eastAsia="仿宋" w:cs="仿宋"/>
                <w:b/>
                <w:sz w:val="21"/>
              </w:rPr>
              <w:t>证明目的</w:t>
            </w:r>
          </w:p>
        </w:tc>
      </w:tr>
      <w:tr>
        <w:tc>
          <w:tcPr>
            <w:tcW w:type="dxa" w:w="1746"/>
          </w:tcPr>
          <w:p>
            <w:pPr>
              <w:spacing w:lineRule="auto" w:line="240" w:before="20" w:after="20"/>
            </w:pPr>
            <w:r/>
            <w:r>
              <w:rPr>
                <w:rFonts w:ascii="仿宋" w:hAnsi="仿宋" w:eastAsia="仿宋" w:cs="仿宋"/>
                <w:b w:val="0"/>
                <w:sz w:val="21"/>
              </w:rPr>
              <w:t>4</w:t>
            </w:r>
          </w:p>
        </w:tc>
        <w:tc>
          <w:tcPr>
            <w:tcW w:type="dxa" w:w="1746"/>
          </w:tcPr>
          <w:p>
            <w:pPr>
              <w:spacing w:lineRule="auto" w:line="240" w:before="20" w:after="20"/>
            </w:pPr>
            <w:r/>
            <w:r>
              <w:rPr>
                <w:rFonts w:ascii="仿宋" w:hAnsi="仿宋" w:eastAsia="仿宋" w:cs="仿宋"/>
                <w:b w:val="0"/>
                <w:sz w:val="21"/>
              </w:rPr>
              <w:t>《建设单位申请中标资料备案情况》（B、C区）</w:t>
            </w:r>
          </w:p>
        </w:tc>
        <w:tc>
          <w:tcPr>
            <w:tcW w:type="dxa" w:w="1746"/>
          </w:tcPr>
          <w:p>
            <w:pPr>
              <w:spacing w:lineRule="auto" w:line="240" w:before="20" w:after="20"/>
            </w:pPr>
            <w:r/>
            <w:r>
              <w:rPr>
                <w:rFonts w:ascii="仿宋" w:hAnsi="仿宋" w:eastAsia="仿宋" w:cs="仿宋"/>
                <w:b w:val="0"/>
                <w:sz w:val="21"/>
              </w:rPr>
              <w:t>复印件</w:t>
            </w:r>
          </w:p>
        </w:tc>
        <w:tc>
          <w:tcPr>
            <w:tcW w:type="dxa" w:w="1746"/>
          </w:tcPr>
          <w:p>
            <w:pPr>
              <w:spacing w:lineRule="auto" w:line="240" w:before="20" w:after="20"/>
            </w:pPr>
            <w:r/>
            <w:r>
              <w:rPr>
                <w:rFonts w:ascii="仿宋" w:hAnsi="仿宋" w:eastAsia="仿宋" w:cs="仿宋"/>
                <w:b w:val="0"/>
                <w:sz w:val="21"/>
              </w:rPr>
              <w:t>1</w:t>
            </w:r>
          </w:p>
        </w:tc>
        <w:tc>
          <w:tcPr>
            <w:tcW w:type="dxa" w:w="1746"/>
          </w:tcPr>
          <w:p>
            <w:pPr>
              <w:spacing w:lineRule="auto" w:line="240" w:before="20" w:after="20"/>
            </w:pPr>
            <w:r/>
            <w:r>
              <w:rPr>
                <w:rFonts w:ascii="仿宋" w:hAnsi="仿宋" w:eastAsia="仿宋" w:cs="仿宋"/>
                <w:b w:val="0"/>
                <w:sz w:val="21"/>
              </w:rPr>
              <w:t>载明：建设单位申请意见"同意</w:t>
            </w:r>
            <w:r>
              <w:rPr>
                <w:rFonts w:ascii="仿宋" w:hAnsi="仿宋" w:eastAsia="仿宋" w:cs="仿宋"/>
                <w:b/>
                <w:sz w:val="21"/>
              </w:rPr>
              <w:t>中铁建（北京）物业管理有限公司</w:t>
            </w:r>
            <w:r>
              <w:rPr>
                <w:rFonts w:ascii="仿宋" w:hAnsi="仿宋" w:eastAsia="仿宋" w:cs="仿宋"/>
                <w:b w:val="0"/>
                <w:sz w:val="21"/>
              </w:rPr>
              <w:t>中标，现申请备案"，法定代表人签章处盖"</w:t>
            </w:r>
            <w:r>
              <w:rPr>
                <w:rFonts w:ascii="仿宋" w:hAnsi="仿宋" w:eastAsia="仿宋" w:cs="仿宋"/>
                <w:b/>
                <w:sz w:val="21"/>
              </w:rPr>
              <w:t>王刚</w:t>
            </w:r>
            <w:r>
              <w:rPr>
                <w:rFonts w:ascii="仿宋" w:hAnsi="仿宋" w:eastAsia="仿宋" w:cs="仿宋"/>
                <w:b w:val="0"/>
                <w:sz w:val="21"/>
              </w:rPr>
              <w:t>"名章；</w:t>
            </w:r>
            <w:r>
              <w:rPr>
                <w:rFonts w:ascii="仿宋" w:hAnsi="仿宋" w:eastAsia="仿宋" w:cs="仿宋"/>
                <w:b/>
                <w:sz w:val="21"/>
              </w:rPr>
              <w:t>中标企业名称：中铁建（北京）物业管理有限公司</w:t>
            </w:r>
            <w:r>
              <w:rPr>
                <w:rFonts w:ascii="仿宋" w:hAnsi="仿宋" w:eastAsia="仿宋" w:cs="仿宋"/>
                <w:b w:val="0"/>
                <w:sz w:val="21"/>
              </w:rPr>
              <w:t>；法定代表人</w:t>
            </w:r>
            <w:r>
              <w:rPr>
                <w:rFonts w:ascii="仿宋" w:hAnsi="仿宋" w:eastAsia="仿宋" w:cs="仿宋"/>
                <w:b/>
                <w:sz w:val="21"/>
              </w:rPr>
              <w:t>林凤臣</w:t>
            </w:r>
            <w:r>
              <w:rPr>
                <w:rFonts w:ascii="仿宋" w:hAnsi="仿宋" w:eastAsia="仿宋" w:cs="仿宋"/>
                <w:b w:val="0"/>
                <w:sz w:val="21"/>
              </w:rPr>
              <w:t>；企业负责人</w:t>
            </w:r>
            <w:r>
              <w:rPr>
                <w:rFonts w:ascii="仿宋" w:hAnsi="仿宋" w:eastAsia="仿宋" w:cs="仿宋"/>
                <w:b/>
                <w:sz w:val="21"/>
              </w:rPr>
              <w:t>林凤臣</w:t>
            </w:r>
            <w:r>
              <w:rPr>
                <w:rFonts w:ascii="仿宋" w:hAnsi="仿宋" w:eastAsia="仿宋" w:cs="仿宋"/>
                <w:b w:val="0"/>
                <w:sz w:val="21"/>
              </w:rPr>
              <w:t>；项目负责人</w:t>
            </w:r>
            <w:r>
              <w:rPr>
                <w:rFonts w:ascii="仿宋" w:hAnsi="仿宋" w:eastAsia="仿宋" w:cs="仿宋"/>
                <w:b/>
                <w:sz w:val="21"/>
              </w:rPr>
              <w:t>肖伟</w:t>
            </w:r>
            <w:r>
              <w:rPr>
                <w:rFonts w:ascii="仿宋" w:hAnsi="仿宋" w:eastAsia="仿宋" w:cs="仿宋"/>
                <w:b w:val="0"/>
                <w:sz w:val="21"/>
              </w:rPr>
              <w:t>；综合评分</w:t>
            </w:r>
            <w:r>
              <w:rPr>
                <w:rFonts w:ascii="仿宋" w:hAnsi="仿宋" w:eastAsia="仿宋" w:cs="仿宋"/>
                <w:b/>
                <w:sz w:val="21"/>
              </w:rPr>
              <w:t>91.4</w:t>
            </w:r>
            <w:r>
              <w:rPr>
                <w:rFonts w:ascii="仿宋" w:hAnsi="仿宋" w:eastAsia="仿宋" w:cs="仿宋"/>
                <w:b w:val="0"/>
                <w:sz w:val="21"/>
              </w:rPr>
              <w:t>；中标价格高层住宅2.2元/㎡·月、商业5.0元/㎡·月。</w:t>
            </w:r>
          </w:p>
        </w:tc>
      </w:tr>
      <w:tr>
        <w:tc>
          <w:tcPr>
            <w:tcW w:type="dxa" w:w="1746"/>
          </w:tcPr>
          <w:p>
            <w:pPr>
              <w:spacing w:lineRule="auto" w:line="240" w:before="20" w:after="20"/>
            </w:pPr>
            <w:r/>
            <w:r>
              <w:rPr>
                <w:rFonts w:ascii="仿宋" w:hAnsi="仿宋" w:eastAsia="仿宋" w:cs="仿宋"/>
                <w:b w:val="0"/>
                <w:sz w:val="21"/>
              </w:rPr>
              <w:t>5</w:t>
            </w:r>
          </w:p>
        </w:tc>
        <w:tc>
          <w:tcPr>
            <w:tcW w:type="dxa" w:w="1746"/>
          </w:tcPr>
          <w:p>
            <w:pPr>
              <w:spacing w:lineRule="auto" w:line="240" w:before="20" w:after="20"/>
            </w:pPr>
            <w:r/>
            <w:r>
              <w:rPr>
                <w:rFonts w:ascii="仿宋" w:hAnsi="仿宋" w:eastAsia="仿宋" w:cs="仿宋"/>
                <w:b w:val="0"/>
                <w:sz w:val="21"/>
              </w:rPr>
              <w:t>《长沙中国铁建山语城第三期B、C区前期物业服务合同》封面</w:t>
            </w:r>
          </w:p>
        </w:tc>
        <w:tc>
          <w:tcPr>
            <w:tcW w:type="dxa" w:w="1746"/>
          </w:tcPr>
          <w:p>
            <w:pPr>
              <w:spacing w:lineRule="auto" w:line="240" w:before="20" w:after="20"/>
            </w:pPr>
            <w:r/>
            <w:r>
              <w:rPr>
                <w:rFonts w:ascii="仿宋" w:hAnsi="仿宋" w:eastAsia="仿宋" w:cs="仿宋"/>
                <w:b w:val="0"/>
                <w:sz w:val="21"/>
              </w:rPr>
              <w:t>复印件</w:t>
            </w:r>
          </w:p>
        </w:tc>
        <w:tc>
          <w:tcPr>
            <w:tcW w:type="dxa" w:w="1746"/>
          </w:tcPr>
          <w:p>
            <w:pPr>
              <w:spacing w:lineRule="auto" w:line="240" w:before="20" w:after="20"/>
            </w:pPr>
            <w:r/>
            <w:r>
              <w:rPr>
                <w:rFonts w:ascii="仿宋" w:hAnsi="仿宋" w:eastAsia="仿宋" w:cs="仿宋"/>
                <w:b w:val="0"/>
                <w:sz w:val="21"/>
              </w:rPr>
              <w:t>1</w:t>
            </w:r>
          </w:p>
        </w:tc>
        <w:tc>
          <w:tcPr>
            <w:tcW w:type="dxa" w:w="1746"/>
          </w:tcPr>
          <w:p>
            <w:pPr>
              <w:spacing w:lineRule="auto" w:line="240" w:before="20" w:after="20"/>
            </w:pPr>
            <w:r/>
            <w:r>
              <w:rPr>
                <w:rFonts w:ascii="仿宋" w:hAnsi="仿宋" w:eastAsia="仿宋" w:cs="仿宋"/>
                <w:b w:val="0"/>
                <w:sz w:val="21"/>
              </w:rPr>
              <w:t>载明：甲方中铁房地产集团长沙置业有限公司，法定代表人</w:t>
            </w:r>
            <w:r>
              <w:rPr>
                <w:rFonts w:ascii="仿宋" w:hAnsi="仿宋" w:eastAsia="仿宋" w:cs="仿宋"/>
                <w:b/>
                <w:sz w:val="21"/>
              </w:rPr>
              <w:t>王刚</w:t>
            </w:r>
            <w:r>
              <w:rPr>
                <w:rFonts w:ascii="仿宋" w:hAnsi="仿宋" w:eastAsia="仿宋" w:cs="仿宋"/>
                <w:b w:val="0"/>
                <w:sz w:val="21"/>
              </w:rPr>
              <w:t>；</w:t>
            </w:r>
            <w:r>
              <w:rPr>
                <w:rFonts w:ascii="仿宋" w:hAnsi="仿宋" w:eastAsia="仿宋" w:cs="仿宋"/>
                <w:b/>
                <w:sz w:val="21"/>
              </w:rPr>
              <w:t>乙方为"中铁建（北京）物业管理有限公司长沙分公司"</w:t>
            </w:r>
            <w:r>
              <w:rPr>
                <w:rFonts w:ascii="仿宋" w:hAnsi="仿宋" w:eastAsia="仿宋" w:cs="仿宋"/>
                <w:b w:val="0"/>
                <w:sz w:val="21"/>
              </w:rPr>
              <w:t>；乙方法定代表人或负责人</w:t>
            </w:r>
            <w:r>
              <w:rPr>
                <w:rFonts w:ascii="仿宋" w:hAnsi="仿宋" w:eastAsia="仿宋" w:cs="仿宋"/>
                <w:b/>
                <w:sz w:val="21"/>
              </w:rPr>
              <w:t>阮班健</w:t>
            </w:r>
            <w:r>
              <w:rPr>
                <w:rFonts w:ascii="仿宋" w:hAnsi="仿宋" w:eastAsia="仿宋" w:cs="仿宋"/>
                <w:b w:val="0"/>
                <w:sz w:val="21"/>
              </w:rPr>
              <w:t>。</w:t>
            </w:r>
          </w:p>
        </w:tc>
      </w:tr>
      <w:tr>
        <w:tc>
          <w:tcPr>
            <w:tcW w:type="dxa" w:w="1746"/>
          </w:tcPr>
          <w:p>
            <w:pPr>
              <w:spacing w:lineRule="auto" w:line="240" w:before="20" w:after="20"/>
            </w:pPr>
            <w:r/>
            <w:r>
              <w:rPr>
                <w:rFonts w:ascii="仿宋" w:hAnsi="仿宋" w:eastAsia="仿宋" w:cs="仿宋"/>
                <w:b w:val="0"/>
                <w:sz w:val="21"/>
              </w:rPr>
              <w:t>6</w:t>
            </w:r>
          </w:p>
        </w:tc>
        <w:tc>
          <w:tcPr>
            <w:tcW w:type="dxa" w:w="1746"/>
          </w:tcPr>
          <w:p>
            <w:pPr>
              <w:spacing w:lineRule="auto" w:line="240" w:before="20" w:after="20"/>
            </w:pPr>
            <w:r/>
            <w:r>
              <w:rPr>
                <w:rFonts w:ascii="仿宋" w:hAnsi="仿宋" w:eastAsia="仿宋" w:cs="仿宋"/>
                <w:b w:val="0"/>
                <w:sz w:val="21"/>
              </w:rPr>
              <w:t>《山语城三期A区前期物业服务合同》封面及签署页</w:t>
            </w:r>
          </w:p>
        </w:tc>
        <w:tc>
          <w:tcPr>
            <w:tcW w:type="dxa" w:w="1746"/>
          </w:tcPr>
          <w:p>
            <w:pPr>
              <w:spacing w:lineRule="auto" w:line="240" w:before="20" w:after="20"/>
            </w:pPr>
            <w:r/>
            <w:r>
              <w:rPr>
                <w:rFonts w:ascii="仿宋" w:hAnsi="仿宋" w:eastAsia="仿宋" w:cs="仿宋"/>
                <w:b w:val="0"/>
                <w:sz w:val="21"/>
              </w:rPr>
              <w:t>复印件</w:t>
            </w:r>
          </w:p>
        </w:tc>
        <w:tc>
          <w:tcPr>
            <w:tcW w:type="dxa" w:w="1746"/>
          </w:tcPr>
          <w:p>
            <w:pPr>
              <w:spacing w:lineRule="auto" w:line="240" w:before="20" w:after="20"/>
            </w:pPr>
            <w:r/>
            <w:r>
              <w:rPr>
                <w:rFonts w:ascii="仿宋" w:hAnsi="仿宋" w:eastAsia="仿宋" w:cs="仿宋"/>
                <w:b w:val="0"/>
                <w:sz w:val="21"/>
              </w:rPr>
              <w:t>2</w:t>
            </w:r>
          </w:p>
        </w:tc>
        <w:tc>
          <w:tcPr>
            <w:tcW w:type="dxa" w:w="1746"/>
          </w:tcPr>
          <w:p>
            <w:pPr>
              <w:spacing w:lineRule="auto" w:line="240" w:before="20" w:after="20"/>
            </w:pPr>
            <w:r/>
            <w:r>
              <w:rPr>
                <w:rFonts w:ascii="仿宋" w:hAnsi="仿宋" w:eastAsia="仿宋" w:cs="仿宋"/>
                <w:b w:val="0"/>
                <w:sz w:val="21"/>
              </w:rPr>
              <w:t>载明：甲方法定代表人</w:t>
            </w:r>
            <w:r>
              <w:rPr>
                <w:rFonts w:ascii="仿宋" w:hAnsi="仿宋" w:eastAsia="仿宋" w:cs="仿宋"/>
                <w:b/>
                <w:sz w:val="21"/>
              </w:rPr>
              <w:t>赵力</w:t>
            </w:r>
            <w:r>
              <w:rPr>
                <w:rFonts w:ascii="仿宋" w:hAnsi="仿宋" w:eastAsia="仿宋" w:cs="仿宋"/>
                <w:b w:val="0"/>
                <w:sz w:val="21"/>
              </w:rPr>
              <w:t>；</w:t>
            </w:r>
            <w:r>
              <w:rPr>
                <w:rFonts w:ascii="仿宋" w:hAnsi="仿宋" w:eastAsia="仿宋" w:cs="仿宋"/>
                <w:b/>
                <w:sz w:val="21"/>
              </w:rPr>
              <w:t>乙方为"中铁建（北京）物业管理有限公司长沙分公司"</w:t>
            </w:r>
            <w:r>
              <w:rPr>
                <w:rFonts w:ascii="仿宋" w:hAnsi="仿宋" w:eastAsia="仿宋" w:cs="仿宋"/>
                <w:b w:val="0"/>
                <w:sz w:val="21"/>
              </w:rPr>
              <w:t>；乙方栏记载"法定代表人：</w:t>
            </w:r>
            <w:r>
              <w:rPr>
                <w:rFonts w:ascii="仿宋" w:hAnsi="仿宋" w:eastAsia="仿宋" w:cs="仿宋"/>
                <w:b/>
                <w:sz w:val="21"/>
              </w:rPr>
              <w:t>侯加海</w:t>
            </w:r>
            <w:r>
              <w:rPr>
                <w:rFonts w:ascii="仿宋" w:hAnsi="仿宋" w:eastAsia="仿宋" w:cs="仿宋"/>
                <w:b w:val="0"/>
                <w:sz w:val="21"/>
              </w:rPr>
              <w:t>"（侯加海系总公司法定代表人）。</w:t>
            </w:r>
          </w:p>
        </w:tc>
      </w:tr>
      <w:tr>
        <w:tc>
          <w:tcPr>
            <w:tcW w:type="dxa" w:w="1746"/>
          </w:tcPr>
          <w:p>
            <w:pPr>
              <w:spacing w:lineRule="auto" w:line="240" w:before="20" w:after="20"/>
            </w:pPr>
            <w:r/>
            <w:r>
              <w:rPr>
                <w:rFonts w:ascii="仿宋" w:hAnsi="仿宋" w:eastAsia="仿宋" w:cs="仿宋"/>
                <w:b w:val="0"/>
                <w:sz w:val="21"/>
              </w:rPr>
              <w:t>7</w:t>
            </w:r>
          </w:p>
        </w:tc>
        <w:tc>
          <w:tcPr>
            <w:tcW w:type="dxa" w:w="1746"/>
          </w:tcPr>
          <w:p>
            <w:pPr>
              <w:spacing w:lineRule="auto" w:line="240" w:before="20" w:after="20"/>
            </w:pPr>
            <w:r/>
            <w:r>
              <w:rPr>
                <w:rFonts w:ascii="仿宋" w:hAnsi="仿宋" w:eastAsia="仿宋" w:cs="仿宋"/>
                <w:b w:val="0"/>
                <w:sz w:val="21"/>
              </w:rPr>
              <w:t>《长沙市前期物业管理招投标备案表》（A区）及中标资料备案页</w:t>
            </w:r>
          </w:p>
        </w:tc>
        <w:tc>
          <w:tcPr>
            <w:tcW w:type="dxa" w:w="1746"/>
          </w:tcPr>
          <w:p>
            <w:pPr>
              <w:spacing w:lineRule="auto" w:line="240" w:before="20" w:after="20"/>
            </w:pPr>
            <w:r/>
            <w:r>
              <w:rPr>
                <w:rFonts w:ascii="仿宋" w:hAnsi="仿宋" w:eastAsia="仿宋" w:cs="仿宋"/>
                <w:b w:val="0"/>
                <w:sz w:val="21"/>
              </w:rPr>
              <w:t>复印件</w:t>
            </w:r>
          </w:p>
        </w:tc>
        <w:tc>
          <w:tcPr>
            <w:tcW w:type="dxa" w:w="1746"/>
          </w:tcPr>
          <w:p>
            <w:pPr>
              <w:spacing w:lineRule="auto" w:line="240" w:before="20" w:after="20"/>
            </w:pPr>
            <w:r/>
            <w:r>
              <w:rPr>
                <w:rFonts w:ascii="仿宋" w:hAnsi="仿宋" w:eastAsia="仿宋" w:cs="仿宋"/>
                <w:b w:val="0"/>
                <w:sz w:val="21"/>
              </w:rPr>
              <w:t>2</w:t>
            </w:r>
          </w:p>
        </w:tc>
        <w:tc>
          <w:tcPr>
            <w:tcW w:type="dxa" w:w="1746"/>
          </w:tcPr>
          <w:p>
            <w:pPr>
              <w:spacing w:lineRule="auto" w:line="240" w:before="20" w:after="20"/>
            </w:pPr>
            <w:r/>
            <w:r>
              <w:rPr>
                <w:rFonts w:ascii="仿宋" w:hAnsi="仿宋" w:eastAsia="仿宋" w:cs="仿宋"/>
                <w:b w:val="0"/>
                <w:sz w:val="21"/>
              </w:rPr>
              <w:t>载明：中标企业为</w:t>
            </w:r>
            <w:r>
              <w:rPr>
                <w:rFonts w:ascii="仿宋" w:hAnsi="仿宋" w:eastAsia="仿宋" w:cs="仿宋"/>
                <w:b/>
                <w:sz w:val="21"/>
              </w:rPr>
              <w:t>中铁建（北京）物业管理有限公司</w:t>
            </w:r>
            <w:r>
              <w:rPr>
                <w:rFonts w:ascii="仿宋" w:hAnsi="仿宋" w:eastAsia="仿宋" w:cs="仿宋"/>
                <w:b w:val="0"/>
                <w:sz w:val="21"/>
              </w:rPr>
              <w:t>，法定代表人侯加海，</w:t>
            </w:r>
            <w:r>
              <w:rPr>
                <w:rFonts w:ascii="仿宋" w:hAnsi="仿宋" w:eastAsia="仿宋" w:cs="仿宋"/>
                <w:b/>
                <w:sz w:val="21"/>
              </w:rPr>
              <w:t>企业负责人赵力</w:t>
            </w:r>
            <w:r>
              <w:rPr>
                <w:rFonts w:ascii="仿宋" w:hAnsi="仿宋" w:eastAsia="仿宋" w:cs="仿宋"/>
                <w:b w:val="0"/>
                <w:sz w:val="21"/>
              </w:rPr>
              <w:t>，项目负责人阮班健；"建设单位申请意见——同意中铁建（北京）物业管理有限公司中标"栏之"法定代表人（签章）"处</w:t>
            </w:r>
            <w:r>
              <w:rPr>
                <w:rFonts w:ascii="仿宋" w:hAnsi="仿宋" w:eastAsia="仿宋" w:cs="仿宋"/>
                <w:b/>
                <w:sz w:val="21"/>
              </w:rPr>
              <w:t>盖有赵力名章</w:t>
            </w:r>
            <w:r>
              <w:rPr>
                <w:rFonts w:ascii="仿宋" w:hAnsi="仿宋" w:eastAsia="仿宋" w:cs="仿宋"/>
                <w:b w:val="0"/>
                <w:sz w:val="21"/>
              </w:rPr>
              <w:t>；勾选栏载明</w:t>
            </w:r>
            <w:r>
              <w:rPr>
                <w:rFonts w:ascii="仿宋" w:hAnsi="仿宋" w:eastAsia="仿宋" w:cs="仿宋"/>
                <w:b/>
                <w:sz w:val="21"/>
              </w:rPr>
              <w:t>评标报告（含评分表）、中标单位投标书、中标通知书均已随附报送备案</w:t>
            </w:r>
            <w:r>
              <w:rPr>
                <w:rFonts w:ascii="仿宋" w:hAnsi="仿宋" w:eastAsia="仿宋" w:cs="仿宋"/>
                <w:b w:val="0"/>
                <w:sz w:val="21"/>
              </w:rPr>
              <w:t>。</w:t>
            </w:r>
          </w:p>
        </w:tc>
      </w:tr>
      <w:tr>
        <w:tc>
          <w:tcPr>
            <w:tcW w:type="dxa" w:w="1746"/>
          </w:tcPr>
          <w:p>
            <w:pPr>
              <w:spacing w:lineRule="auto" w:line="240" w:before="20" w:after="20"/>
            </w:pPr>
            <w:r/>
            <w:r>
              <w:rPr>
                <w:rFonts w:ascii="仿宋" w:hAnsi="仿宋" w:eastAsia="仿宋" w:cs="仿宋"/>
                <w:b w:val="0"/>
                <w:sz w:val="21"/>
              </w:rPr>
              <w:t>8</w:t>
            </w:r>
          </w:p>
        </w:tc>
        <w:tc>
          <w:tcPr>
            <w:tcW w:type="dxa" w:w="1746"/>
          </w:tcPr>
          <w:p>
            <w:pPr>
              <w:spacing w:lineRule="auto" w:line="240" w:before="20" w:after="20"/>
            </w:pPr>
            <w:r/>
            <w:r>
              <w:rPr>
                <w:rFonts w:ascii="仿宋" w:hAnsi="仿宋" w:eastAsia="仿宋" w:cs="仿宋"/>
                <w:b w:val="0"/>
                <w:sz w:val="21"/>
              </w:rPr>
              <w:t>《外地驻长物业服务企业资质备案证明（续）》（长住建物证备第0072号）</w:t>
            </w:r>
          </w:p>
        </w:tc>
        <w:tc>
          <w:tcPr>
            <w:tcW w:type="dxa" w:w="1746"/>
          </w:tcPr>
          <w:p>
            <w:pPr>
              <w:spacing w:lineRule="auto" w:line="240" w:before="20" w:after="20"/>
            </w:pPr>
            <w:r/>
            <w:r>
              <w:rPr>
                <w:rFonts w:ascii="仿宋" w:hAnsi="仿宋" w:eastAsia="仿宋" w:cs="仿宋"/>
                <w:b w:val="0"/>
                <w:sz w:val="21"/>
              </w:rPr>
              <w:t>复印件</w:t>
            </w:r>
          </w:p>
        </w:tc>
        <w:tc>
          <w:tcPr>
            <w:tcW w:type="dxa" w:w="1746"/>
          </w:tcPr>
          <w:p>
            <w:pPr>
              <w:spacing w:lineRule="auto" w:line="240" w:before="20" w:after="20"/>
            </w:pPr>
            <w:r/>
            <w:r>
              <w:rPr>
                <w:rFonts w:ascii="仿宋" w:hAnsi="仿宋" w:eastAsia="仿宋" w:cs="仿宋"/>
                <w:b w:val="0"/>
                <w:sz w:val="21"/>
              </w:rPr>
              <w:t>1</w:t>
            </w:r>
          </w:p>
        </w:tc>
        <w:tc>
          <w:tcPr>
            <w:tcW w:type="dxa" w:w="1746"/>
          </w:tcPr>
          <w:p>
            <w:pPr>
              <w:spacing w:lineRule="auto" w:line="240" w:before="20" w:after="20"/>
            </w:pPr>
            <w:r/>
            <w:r>
              <w:rPr>
                <w:rFonts w:ascii="仿宋" w:hAnsi="仿宋" w:eastAsia="仿宋" w:cs="仿宋"/>
                <w:b w:val="0"/>
                <w:sz w:val="21"/>
              </w:rPr>
              <w:t>载明：</w:t>
            </w:r>
            <w:r>
              <w:rPr>
                <w:rFonts w:ascii="仿宋" w:hAnsi="仿宋" w:eastAsia="仿宋" w:cs="仿宋"/>
                <w:b/>
                <w:sz w:val="21"/>
              </w:rPr>
              <w:t>分公司负责人为阮班健</w:t>
            </w:r>
            <w:r>
              <w:rPr>
                <w:rFonts w:ascii="仿宋" w:hAnsi="仿宋" w:eastAsia="仿宋" w:cs="仿宋"/>
                <w:b w:val="0"/>
                <w:sz w:val="21"/>
              </w:rPr>
              <w:t>；总公司名称中铁建（北京）物业管理有限公司；准予在长沙市开展物业管理服务活动的时间为</w:t>
            </w:r>
            <w:r>
              <w:rPr>
                <w:rFonts w:ascii="仿宋" w:hAnsi="仿宋" w:eastAsia="仿宋" w:cs="仿宋"/>
                <w:b/>
                <w:sz w:val="21"/>
              </w:rPr>
              <w:t>2012年8月9日</w:t>
            </w:r>
            <w:r>
              <w:rPr>
                <w:rFonts w:ascii="仿宋" w:hAnsi="仿宋" w:eastAsia="仿宋" w:cs="仿宋"/>
                <w:b w:val="0"/>
                <w:sz w:val="21"/>
              </w:rPr>
              <w:t>；有效期自2016年8月8日至2017年8月7日止。</w:t>
            </w:r>
          </w:p>
        </w:tc>
      </w:tr>
    </w:tbl>
    <w:p/>
    <w:p>
      <w:pPr>
        <w:spacing w:lineRule="exact" w:line="560" w:before="40" w:after="40"/>
        <w:ind w:firstLine="600"/>
        <w:jc w:val="both"/>
      </w:pPr>
      <w:r>
        <w:rPr>
          <w:rFonts w:ascii="仿宋" w:hAnsi="仿宋" w:eastAsia="仿宋" w:cs="仿宋"/>
          <w:b/>
          <w:sz w:val="30"/>
        </w:rPr>
        <w:t>本组综合证明目的：</w:t>
      </w:r>
    </w:p>
    <w:p>
      <w:pPr>
        <w:spacing w:lineRule="exact" w:line="560" w:before="40" w:after="40"/>
        <w:ind w:firstLine="600"/>
        <w:jc w:val="both"/>
      </w:pPr>
      <w:r>
        <w:rPr>
          <w:rFonts w:ascii="仿宋" w:hAnsi="仿宋" w:eastAsia="仿宋" w:cs="仿宋"/>
          <w:b w:val="0"/>
          <w:sz w:val="30"/>
        </w:rPr>
        <w:t>一、</w:t>
      </w:r>
      <w:r>
        <w:rPr>
          <w:rFonts w:ascii="仿宋" w:hAnsi="仿宋" w:eastAsia="仿宋" w:cs="仿宋"/>
          <w:b/>
          <w:sz w:val="30"/>
        </w:rPr>
        <w:t>两次招投标的中标人均为总公司"中铁建（北京）物业管理有限公司"，而两份合同的乙方均为其"长沙分公司"，中标主体与签约主体在名称上不一致。</w:t>
      </w:r>
      <w:r>
        <w:rPr>
          <w:rFonts w:ascii="仿宋" w:hAnsi="仿宋" w:eastAsia="仿宋" w:cs="仿宋"/>
          <w:b w:val="0"/>
          <w:sz w:val="30"/>
        </w:rPr>
        <w:t xml:space="preserve"> 一审判决对该事实未作任何查明，仅以《民法典》第七十四条分支机构责任规则作答，未审查建设单位是否依《招标投标法》第四十六条"按照招标文件和中标人的投标文件"与</w:t>
      </w:r>
      <w:r>
        <w:rPr>
          <w:rFonts w:ascii="仿宋" w:hAnsi="仿宋" w:eastAsia="仿宋" w:cs="仿宋"/>
          <w:b/>
          <w:sz w:val="30"/>
        </w:rPr>
        <w:t>中标人</w:t>
      </w:r>
      <w:r>
        <w:rPr>
          <w:rFonts w:ascii="仿宋" w:hAnsi="仿宋" w:eastAsia="仿宋" w:cs="仿宋"/>
          <w:b w:val="0"/>
          <w:sz w:val="30"/>
        </w:rPr>
        <w:t>订立合同。</w:t>
      </w:r>
    </w:p>
    <w:p>
      <w:pPr>
        <w:spacing w:lineRule="exact" w:line="560" w:before="40" w:after="40"/>
        <w:ind w:firstLine="600"/>
        <w:jc w:val="both"/>
      </w:pPr>
      <w:r>
        <w:rPr>
          <w:rFonts w:ascii="仿宋" w:hAnsi="仿宋" w:eastAsia="仿宋" w:cs="仿宋"/>
          <w:b w:val="0"/>
          <w:sz w:val="30"/>
        </w:rPr>
        <w:t>二、</w:t>
      </w:r>
      <w:r>
        <w:rPr>
          <w:rFonts w:ascii="仿宋" w:hAnsi="仿宋" w:eastAsia="仿宋" w:cs="仿宋"/>
          <w:b/>
          <w:sz w:val="30"/>
        </w:rPr>
        <w:t>B/C区的招投标事实与A区完全不同：</w:t>
      </w:r>
      <w:r>
        <w:rPr>
          <w:rFonts w:ascii="仿宋" w:hAnsi="仿宋" w:eastAsia="仿宋" w:cs="仿宋"/>
          <w:b w:val="0"/>
          <w:sz w:val="30"/>
        </w:rPr>
        <w:t xml:space="preserve"> 建设单位法定代表人为王刚（非赵力）、中标企业负责人为林凤臣（非赵力）、项目负责人为肖伟。一审判决"认定事实"部分对上述B/C区事实</w:t>
      </w:r>
      <w:r>
        <w:rPr>
          <w:rFonts w:ascii="仿宋" w:hAnsi="仿宋" w:eastAsia="仿宋" w:cs="仿宋"/>
          <w:b/>
          <w:sz w:val="30"/>
        </w:rPr>
        <w:t>无一字记载</w:t>
      </w:r>
      <w:r>
        <w:rPr>
          <w:rFonts w:ascii="仿宋" w:hAnsi="仿宋" w:eastAsia="仿宋" w:cs="仿宋"/>
          <w:b w:val="0"/>
          <w:sz w:val="30"/>
        </w:rPr>
        <w:t>，却以A区的赵力身份与A区备案表统一支撑对两份合同的效力结论。</w:t>
      </w:r>
    </w:p>
    <w:p>
      <w:pPr>
        <w:spacing w:lineRule="exact" w:line="560" w:before="40" w:after="40"/>
        <w:ind w:firstLine="600"/>
        <w:jc w:val="both"/>
      </w:pPr>
      <w:r>
        <w:rPr>
          <w:rFonts w:ascii="仿宋" w:hAnsi="仿宋" w:eastAsia="仿宋" w:cs="仿宋"/>
          <w:b w:val="0"/>
          <w:sz w:val="30"/>
        </w:rPr>
        <w:t>三、证据7勾选栏证明，</w:t>
      </w:r>
      <w:r>
        <w:rPr>
          <w:rFonts w:ascii="仿宋" w:hAnsi="仿宋" w:eastAsia="仿宋" w:cs="仿宋"/>
          <w:b/>
          <w:sz w:val="30"/>
        </w:rPr>
        <w:t>评标报告、投标书、中标通知书三份文件客观存在且已由建设单位报送备案</w:t>
      </w:r>
      <w:r>
        <w:rPr>
          <w:rFonts w:ascii="仿宋" w:hAnsi="仿宋" w:eastAsia="仿宋" w:cs="仿宋"/>
          <w:b w:val="0"/>
          <w:sz w:val="30"/>
        </w:rPr>
        <w:t>，被上诉人作为报送方应自持副本；行政机关"档案搬迁遗失"的答复不能免除被上诉人的提出义务。</w:t>
      </w:r>
    </w:p>
    <w:p>
      <w:pPr>
        <w:spacing w:lineRule="exact" w:line="560" w:before="40" w:after="40"/>
        <w:ind w:firstLine="600"/>
        <w:jc w:val="both"/>
      </w:pPr>
      <w:r>
        <w:rPr>
          <w:rFonts w:ascii="仿宋" w:hAnsi="仿宋" w:eastAsia="仿宋" w:cs="仿宋"/>
          <w:b w:val="0"/>
          <w:sz w:val="30"/>
        </w:rPr>
        <w:t>四、证据8证明该分公司自2012年8月9日起即获准在长沙开展物业管理服务活动，与后述证据12所证明的"前期物业服务合同迟至2025年11月20日方完成备案"形成对照。</w:t>
      </w:r>
    </w:p>
    <w:p>
      <w:pPr>
        <w:spacing w:lineRule="exact" w:line="560" w:before="160" w:after="80"/>
      </w:pPr>
      <w:r>
        <w:rPr>
          <w:rFonts w:ascii="仿宋" w:hAnsi="仿宋" w:eastAsia="仿宋" w:cs="仿宋"/>
          <w:b/>
          <w:sz w:val="30"/>
        </w:rPr>
        <w:t>第三组　证明B/C区合同存在两个日期版本，效力审查对象尚未确定</w:t>
      </w:r>
    </w:p>
    <w:tbl>
      <w:tblPr>
        <w:tblW w:type="auto" w:w="0"/>
        <w:jc w:val="center"/>
        <w:tblLayout w:type="autofit"/>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1746"/>
        <w:gridCol w:w="1746"/>
        <w:gridCol w:w="1746"/>
        <w:gridCol w:w="1746"/>
        <w:gridCol w:w="1746"/>
      </w:tblGrid>
      <w:tr>
        <w:tc>
          <w:tcPr>
            <w:tcW w:type="dxa" w:w="1746"/>
          </w:tcPr>
          <w:p>
            <w:pPr>
              <w:spacing w:lineRule="auto" w:line="240" w:before="20" w:after="20"/>
            </w:pPr>
            <w:r/>
            <w:r>
              <w:rPr>
                <w:rFonts w:ascii="仿宋" w:hAnsi="仿宋" w:eastAsia="仿宋" w:cs="仿宋"/>
                <w:b/>
                <w:sz w:val="21"/>
              </w:rPr>
              <w:t>序号</w:t>
            </w:r>
          </w:p>
        </w:tc>
        <w:tc>
          <w:tcPr>
            <w:tcW w:type="dxa" w:w="1746"/>
          </w:tcPr>
          <w:p>
            <w:pPr>
              <w:spacing w:lineRule="auto" w:line="240" w:before="20" w:after="20"/>
            </w:pPr>
            <w:r/>
            <w:r>
              <w:rPr>
                <w:rFonts w:ascii="仿宋" w:hAnsi="仿宋" w:eastAsia="仿宋" w:cs="仿宋"/>
                <w:b/>
                <w:sz w:val="21"/>
              </w:rPr>
              <w:t>证据名称</w:t>
            </w:r>
          </w:p>
        </w:tc>
        <w:tc>
          <w:tcPr>
            <w:tcW w:type="dxa" w:w="1746"/>
          </w:tcPr>
          <w:p>
            <w:pPr>
              <w:spacing w:lineRule="auto" w:line="240" w:before="20" w:after="20"/>
            </w:pPr>
            <w:r/>
            <w:r>
              <w:rPr>
                <w:rFonts w:ascii="仿宋" w:hAnsi="仿宋" w:eastAsia="仿宋" w:cs="仿宋"/>
                <w:b/>
                <w:sz w:val="21"/>
              </w:rPr>
              <w:t>形式</w:t>
            </w:r>
          </w:p>
        </w:tc>
        <w:tc>
          <w:tcPr>
            <w:tcW w:type="dxa" w:w="1746"/>
          </w:tcPr>
          <w:p>
            <w:pPr>
              <w:spacing w:lineRule="auto" w:line="240" w:before="20" w:after="20"/>
            </w:pPr>
            <w:r/>
            <w:r>
              <w:rPr>
                <w:rFonts w:ascii="仿宋" w:hAnsi="仿宋" w:eastAsia="仿宋" w:cs="仿宋"/>
                <w:b/>
                <w:sz w:val="21"/>
              </w:rPr>
              <w:t>页数</w:t>
            </w:r>
          </w:p>
        </w:tc>
        <w:tc>
          <w:tcPr>
            <w:tcW w:type="dxa" w:w="1746"/>
          </w:tcPr>
          <w:p>
            <w:pPr>
              <w:spacing w:lineRule="auto" w:line="240" w:before="20" w:after="20"/>
            </w:pPr>
            <w:r/>
            <w:r>
              <w:rPr>
                <w:rFonts w:ascii="仿宋" w:hAnsi="仿宋" w:eastAsia="仿宋" w:cs="仿宋"/>
                <w:b/>
                <w:sz w:val="21"/>
              </w:rPr>
              <w:t>证明目的</w:t>
            </w:r>
          </w:p>
        </w:tc>
      </w:tr>
      <w:tr>
        <w:tc>
          <w:tcPr>
            <w:tcW w:type="dxa" w:w="1746"/>
          </w:tcPr>
          <w:p>
            <w:pPr>
              <w:spacing w:lineRule="auto" w:line="240" w:before="20" w:after="20"/>
            </w:pPr>
            <w:r/>
            <w:r>
              <w:rPr>
                <w:rFonts w:ascii="仿宋" w:hAnsi="仿宋" w:eastAsia="仿宋" w:cs="仿宋"/>
                <w:b w:val="0"/>
                <w:sz w:val="21"/>
              </w:rPr>
              <w:t>9</w:t>
            </w:r>
          </w:p>
        </w:tc>
        <w:tc>
          <w:tcPr>
            <w:tcW w:type="dxa" w:w="1746"/>
          </w:tcPr>
          <w:p>
            <w:pPr>
              <w:spacing w:lineRule="auto" w:line="240" w:before="20" w:after="20"/>
            </w:pPr>
            <w:r/>
            <w:r>
              <w:rPr>
                <w:rFonts w:ascii="仿宋" w:hAnsi="仿宋" w:eastAsia="仿宋" w:cs="仿宋"/>
                <w:b w:val="0"/>
                <w:sz w:val="21"/>
              </w:rPr>
              <w:t>B/C区前期物业服务合同封面（载</w:t>
            </w:r>
            <w:r>
              <w:rPr>
                <w:rFonts w:ascii="仿宋" w:hAnsi="仿宋" w:eastAsia="仿宋" w:cs="仿宋"/>
                <w:b/>
                <w:sz w:val="21"/>
              </w:rPr>
              <w:t>2016年5月31日</w:t>
            </w:r>
            <w:r>
              <w:rPr>
                <w:rFonts w:ascii="仿宋" w:hAnsi="仿宋" w:eastAsia="仿宋" w:cs="仿宋"/>
                <w:b w:val="0"/>
                <w:sz w:val="21"/>
              </w:rPr>
              <w:t>）</w:t>
            </w:r>
          </w:p>
        </w:tc>
        <w:tc>
          <w:tcPr>
            <w:tcW w:type="dxa" w:w="1746"/>
          </w:tcPr>
          <w:p>
            <w:pPr>
              <w:spacing w:lineRule="auto" w:line="240" w:before="20" w:after="20"/>
            </w:pPr>
            <w:r/>
            <w:r>
              <w:rPr>
                <w:rFonts w:ascii="仿宋" w:hAnsi="仿宋" w:eastAsia="仿宋" w:cs="仿宋"/>
                <w:b w:val="0"/>
                <w:sz w:val="21"/>
              </w:rPr>
              <w:t>复印件</w:t>
            </w:r>
          </w:p>
        </w:tc>
        <w:tc>
          <w:tcPr>
            <w:tcW w:type="dxa" w:w="1746"/>
          </w:tcPr>
          <w:p>
            <w:pPr>
              <w:spacing w:lineRule="auto" w:line="240" w:before="20" w:after="20"/>
            </w:pPr>
            <w:r/>
            <w:r>
              <w:rPr>
                <w:rFonts w:ascii="仿宋" w:hAnsi="仿宋" w:eastAsia="仿宋" w:cs="仿宋"/>
                <w:b w:val="0"/>
                <w:sz w:val="21"/>
              </w:rPr>
              <w:t>1</w:t>
            </w:r>
          </w:p>
        </w:tc>
        <w:tc>
          <w:tcPr>
            <w:tcW w:type="dxa" w:w="1746"/>
          </w:tcPr>
          <w:p>
            <w:pPr>
              <w:spacing w:lineRule="auto" w:line="240" w:before="20" w:after="20"/>
            </w:pPr>
            <w:r/>
            <w:r>
              <w:rPr>
                <w:rFonts w:ascii="仿宋" w:hAnsi="仿宋" w:eastAsia="仿宋" w:cs="仿宋"/>
                <w:b w:val="0"/>
                <w:sz w:val="21"/>
              </w:rPr>
              <w:t>该版本至今</w:t>
            </w:r>
            <w:r>
              <w:rPr>
                <w:rFonts w:ascii="仿宋" w:hAnsi="仿宋" w:eastAsia="仿宋" w:cs="仿宋"/>
                <w:b/>
                <w:sz w:val="21"/>
              </w:rPr>
              <w:t>仅见封面，未取得完整原本</w:t>
            </w:r>
            <w:r>
              <w:rPr>
                <w:rFonts w:ascii="仿宋" w:hAnsi="仿宋" w:eastAsia="仿宋" w:cs="仿宋"/>
                <w:b w:val="0"/>
                <w:sz w:val="21"/>
              </w:rPr>
              <w:t>。</w:t>
            </w:r>
          </w:p>
        </w:tc>
      </w:tr>
      <w:tr>
        <w:tc>
          <w:tcPr>
            <w:tcW w:type="dxa" w:w="1746"/>
          </w:tcPr>
          <w:p>
            <w:pPr>
              <w:spacing w:lineRule="auto" w:line="240" w:before="20" w:after="20"/>
            </w:pPr>
            <w:r/>
            <w:r>
              <w:rPr>
                <w:rFonts w:ascii="仿宋" w:hAnsi="仿宋" w:eastAsia="仿宋" w:cs="仿宋"/>
                <w:b w:val="0"/>
                <w:sz w:val="21"/>
              </w:rPr>
              <w:t>10</w:t>
            </w:r>
          </w:p>
        </w:tc>
        <w:tc>
          <w:tcPr>
            <w:tcW w:type="dxa" w:w="1746"/>
          </w:tcPr>
          <w:p>
            <w:pPr>
              <w:spacing w:lineRule="auto" w:line="240" w:before="20" w:after="20"/>
            </w:pPr>
            <w:r/>
            <w:r>
              <w:rPr>
                <w:rFonts w:ascii="仿宋" w:hAnsi="仿宋" w:eastAsia="仿宋" w:cs="仿宋"/>
                <w:b w:val="0"/>
                <w:sz w:val="21"/>
              </w:rPr>
              <w:t>B/C区前期物业服务合同签章页（载</w:t>
            </w:r>
            <w:r>
              <w:rPr>
                <w:rFonts w:ascii="仿宋" w:hAnsi="仿宋" w:eastAsia="仿宋" w:cs="仿宋"/>
                <w:b/>
                <w:sz w:val="21"/>
              </w:rPr>
              <w:t>2016年8月31日</w:t>
            </w:r>
            <w:r>
              <w:rPr>
                <w:rFonts w:ascii="仿宋" w:hAnsi="仿宋" w:eastAsia="仿宋" w:cs="仿宋"/>
                <w:b w:val="0"/>
                <w:sz w:val="21"/>
              </w:rPr>
              <w:t>）</w:t>
            </w:r>
          </w:p>
        </w:tc>
        <w:tc>
          <w:tcPr>
            <w:tcW w:type="dxa" w:w="1746"/>
          </w:tcPr>
          <w:p>
            <w:pPr>
              <w:spacing w:lineRule="auto" w:line="240" w:before="20" w:after="20"/>
            </w:pPr>
            <w:r/>
            <w:r>
              <w:rPr>
                <w:rFonts w:ascii="仿宋" w:hAnsi="仿宋" w:eastAsia="仿宋" w:cs="仿宋"/>
                <w:b w:val="0"/>
                <w:sz w:val="21"/>
              </w:rPr>
              <w:t>复印件</w:t>
            </w:r>
          </w:p>
        </w:tc>
        <w:tc>
          <w:tcPr>
            <w:tcW w:type="dxa" w:w="1746"/>
          </w:tcPr>
          <w:p>
            <w:pPr>
              <w:spacing w:lineRule="auto" w:line="240" w:before="20" w:after="20"/>
            </w:pPr>
            <w:r/>
            <w:r>
              <w:rPr>
                <w:rFonts w:ascii="仿宋" w:hAnsi="仿宋" w:eastAsia="仿宋" w:cs="仿宋"/>
                <w:b w:val="0"/>
                <w:sz w:val="21"/>
              </w:rPr>
              <w:t>1</w:t>
            </w:r>
          </w:p>
        </w:tc>
        <w:tc>
          <w:tcPr>
            <w:tcW w:type="dxa" w:w="1746"/>
          </w:tcPr>
          <w:p>
            <w:pPr>
              <w:spacing w:lineRule="auto" w:line="240" w:before="20" w:after="20"/>
            </w:pPr>
            <w:r/>
            <w:r>
              <w:rPr>
                <w:rFonts w:ascii="仿宋" w:hAnsi="仿宋" w:eastAsia="仿宋" w:cs="仿宋"/>
                <w:b w:val="0"/>
                <w:sz w:val="21"/>
              </w:rPr>
              <w:t>载明双方签章及日期，与证据9封面所载日期不一致。</w:t>
            </w:r>
          </w:p>
        </w:tc>
      </w:tr>
      <w:tr>
        <w:tc>
          <w:tcPr>
            <w:tcW w:type="dxa" w:w="1746"/>
          </w:tcPr>
          <w:p>
            <w:pPr>
              <w:spacing w:lineRule="auto" w:line="240" w:before="20" w:after="20"/>
            </w:pPr>
            <w:r/>
            <w:r>
              <w:rPr>
                <w:rFonts w:ascii="仿宋" w:hAnsi="仿宋" w:eastAsia="仿宋" w:cs="仿宋"/>
                <w:b w:val="0"/>
                <w:sz w:val="21"/>
              </w:rPr>
              <w:t>11</w:t>
            </w:r>
          </w:p>
        </w:tc>
        <w:tc>
          <w:tcPr>
            <w:tcW w:type="dxa" w:w="1746"/>
          </w:tcPr>
          <w:p>
            <w:pPr>
              <w:spacing w:lineRule="auto" w:line="240" w:before="20" w:after="20"/>
            </w:pPr>
            <w:r/>
            <w:r>
              <w:rPr>
                <w:rFonts w:ascii="仿宋" w:hAnsi="仿宋" w:eastAsia="仿宋" w:cs="仿宋"/>
                <w:b w:val="0"/>
                <w:sz w:val="21"/>
              </w:rPr>
              <w:t>（2026）湘8601行初374号庭审笔录相关页</w:t>
            </w:r>
          </w:p>
        </w:tc>
        <w:tc>
          <w:tcPr>
            <w:tcW w:type="dxa" w:w="1746"/>
          </w:tcPr>
          <w:p>
            <w:pPr>
              <w:spacing w:lineRule="auto" w:line="240" w:before="20" w:after="20"/>
            </w:pPr>
            <w:r/>
            <w:r>
              <w:rPr>
                <w:rFonts w:ascii="仿宋" w:hAnsi="仿宋" w:eastAsia="仿宋" w:cs="仿宋"/>
                <w:b w:val="0"/>
                <w:sz w:val="21"/>
              </w:rPr>
              <w:t>复印件</w:t>
            </w:r>
          </w:p>
        </w:tc>
        <w:tc>
          <w:tcPr>
            <w:tcW w:type="dxa" w:w="1746"/>
          </w:tcPr>
          <w:p>
            <w:pPr>
              <w:spacing w:lineRule="auto" w:line="240" w:before="20" w:after="20"/>
            </w:pPr>
            <w:r/>
            <w:r>
              <w:rPr>
                <w:rFonts w:ascii="仿宋" w:hAnsi="仿宋" w:eastAsia="仿宋" w:cs="仿宋"/>
                <w:b w:val="0"/>
                <w:sz w:val="21"/>
              </w:rPr>
              <w:t>依实际</w:t>
            </w:r>
          </w:p>
        </w:tc>
        <w:tc>
          <w:tcPr>
            <w:tcW w:type="dxa" w:w="1746"/>
          </w:tcPr>
          <w:p>
            <w:pPr>
              <w:spacing w:lineRule="auto" w:line="240" w:before="20" w:after="20"/>
            </w:pPr>
            <w:r/>
            <w:r>
              <w:rPr>
                <w:rFonts w:ascii="仿宋" w:hAnsi="仿宋" w:eastAsia="仿宋" w:cs="仿宋"/>
                <w:b w:val="0"/>
                <w:sz w:val="21"/>
              </w:rPr>
              <w:t>记载行政机关当庭陈述：开福区住建局称"备案资料显示是5月31日，具体情况庭后核实并提交书面情况说明"；开福区人民政府称"封面应该是写到2016年的5月31，但是最后的签订日期是2016年的8月31日"。</w:t>
            </w:r>
            <w:r>
              <w:rPr>
                <w:rFonts w:ascii="仿宋" w:hAnsi="仿宋" w:eastAsia="仿宋" w:cs="仿宋"/>
                <w:b/>
                <w:sz w:val="21"/>
              </w:rPr>
              <w:t>两个行政机关对同一份合同的签订日期陈述不一致，且承诺庭后核实。</w:t>
            </w:r>
          </w:p>
        </w:tc>
      </w:tr>
    </w:tbl>
    <w:p/>
    <w:p>
      <w:pPr>
        <w:spacing w:lineRule="exact" w:line="560" w:before="40" w:after="40"/>
        <w:ind w:firstLine="600"/>
        <w:jc w:val="both"/>
      </w:pPr>
      <w:r>
        <w:rPr>
          <w:rFonts w:ascii="仿宋" w:hAnsi="仿宋" w:eastAsia="仿宋" w:cs="仿宋"/>
          <w:b/>
          <w:sz w:val="30"/>
        </w:rPr>
        <w:t>本组综合证明目的：</w:t>
      </w:r>
    </w:p>
    <w:p>
      <w:pPr>
        <w:spacing w:lineRule="exact" w:line="560" w:before="40" w:after="40"/>
        <w:ind w:firstLine="600"/>
        <w:jc w:val="both"/>
      </w:pPr>
      <w:r>
        <w:rPr>
          <w:rFonts w:ascii="仿宋" w:hAnsi="仿宋" w:eastAsia="仿宋" w:cs="仿宋"/>
          <w:b w:val="0"/>
          <w:sz w:val="30"/>
        </w:rPr>
        <w:t>案涉B/C区合同存在两个日期版本，其相互关系至今未经任何司法程序查明。确认合同无效之诉必须首先确定审查对象为哪一份文本。一审判决对该争议未作任何认定。</w:t>
      </w:r>
      <w:r>
        <w:rPr>
          <w:rFonts w:ascii="仿宋" w:hAnsi="仿宋" w:eastAsia="仿宋" w:cs="仿宋"/>
          <w:b/>
          <w:sz w:val="30"/>
        </w:rPr>
        <w:t>该合同文本由被上诉人制作并持有，被上诉人主张合同合法有效，应先行明确其主张有效的是哪一份文本并提交完整原本。</w:t>
      </w:r>
    </w:p>
    <w:p>
      <w:pPr>
        <w:spacing w:lineRule="exact" w:line="560" w:before="160" w:after="80"/>
      </w:pPr>
      <w:r>
        <w:rPr>
          <w:rFonts w:ascii="仿宋" w:hAnsi="仿宋" w:eastAsia="仿宋" w:cs="仿宋"/>
          <w:b/>
          <w:sz w:val="30"/>
        </w:rPr>
        <w:t>第四组　证明前期物业服务合同长期未备案，被上诉人"已备案故合法有效"的抗辩不能成立</w:t>
      </w:r>
    </w:p>
    <w:tbl>
      <w:tblPr>
        <w:tblW w:type="auto" w:w="0"/>
        <w:jc w:val="center"/>
        <w:tblLayout w:type="autofit"/>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1746"/>
        <w:gridCol w:w="1746"/>
        <w:gridCol w:w="1746"/>
        <w:gridCol w:w="1746"/>
        <w:gridCol w:w="1746"/>
      </w:tblGrid>
      <w:tr>
        <w:tc>
          <w:tcPr>
            <w:tcW w:type="dxa" w:w="1746"/>
          </w:tcPr>
          <w:p>
            <w:pPr>
              <w:spacing w:lineRule="auto" w:line="240" w:before="20" w:after="20"/>
            </w:pPr>
            <w:r/>
            <w:r>
              <w:rPr>
                <w:rFonts w:ascii="仿宋" w:hAnsi="仿宋" w:eastAsia="仿宋" w:cs="仿宋"/>
                <w:b/>
                <w:sz w:val="21"/>
              </w:rPr>
              <w:t>序号</w:t>
            </w:r>
          </w:p>
        </w:tc>
        <w:tc>
          <w:tcPr>
            <w:tcW w:type="dxa" w:w="1746"/>
          </w:tcPr>
          <w:p>
            <w:pPr>
              <w:spacing w:lineRule="auto" w:line="240" w:before="20" w:after="20"/>
            </w:pPr>
            <w:r/>
            <w:r>
              <w:rPr>
                <w:rFonts w:ascii="仿宋" w:hAnsi="仿宋" w:eastAsia="仿宋" w:cs="仿宋"/>
                <w:b/>
                <w:sz w:val="21"/>
              </w:rPr>
              <w:t>证据名称</w:t>
            </w:r>
          </w:p>
        </w:tc>
        <w:tc>
          <w:tcPr>
            <w:tcW w:type="dxa" w:w="1746"/>
          </w:tcPr>
          <w:p>
            <w:pPr>
              <w:spacing w:lineRule="auto" w:line="240" w:before="20" w:after="20"/>
            </w:pPr>
            <w:r/>
            <w:r>
              <w:rPr>
                <w:rFonts w:ascii="仿宋" w:hAnsi="仿宋" w:eastAsia="仿宋" w:cs="仿宋"/>
                <w:b/>
                <w:sz w:val="21"/>
              </w:rPr>
              <w:t>形式</w:t>
            </w:r>
          </w:p>
        </w:tc>
        <w:tc>
          <w:tcPr>
            <w:tcW w:type="dxa" w:w="1746"/>
          </w:tcPr>
          <w:p>
            <w:pPr>
              <w:spacing w:lineRule="auto" w:line="240" w:before="20" w:after="20"/>
            </w:pPr>
            <w:r/>
            <w:r>
              <w:rPr>
                <w:rFonts w:ascii="仿宋" w:hAnsi="仿宋" w:eastAsia="仿宋" w:cs="仿宋"/>
                <w:b/>
                <w:sz w:val="21"/>
              </w:rPr>
              <w:t>页数</w:t>
            </w:r>
          </w:p>
        </w:tc>
        <w:tc>
          <w:tcPr>
            <w:tcW w:type="dxa" w:w="1746"/>
          </w:tcPr>
          <w:p>
            <w:pPr>
              <w:spacing w:lineRule="auto" w:line="240" w:before="20" w:after="20"/>
            </w:pPr>
            <w:r/>
            <w:r>
              <w:rPr>
                <w:rFonts w:ascii="仿宋" w:hAnsi="仿宋" w:eastAsia="仿宋" w:cs="仿宋"/>
                <w:b/>
                <w:sz w:val="21"/>
              </w:rPr>
              <w:t>证明目的</w:t>
            </w:r>
          </w:p>
        </w:tc>
      </w:tr>
      <w:tr>
        <w:tc>
          <w:tcPr>
            <w:tcW w:type="dxa" w:w="1746"/>
          </w:tcPr>
          <w:p>
            <w:pPr>
              <w:spacing w:lineRule="auto" w:line="240" w:before="20" w:after="20"/>
            </w:pPr>
            <w:r/>
            <w:r>
              <w:rPr>
                <w:rFonts w:ascii="仿宋" w:hAnsi="仿宋" w:eastAsia="仿宋" w:cs="仿宋"/>
                <w:b w:val="0"/>
                <w:sz w:val="21"/>
              </w:rPr>
              <w:t>12</w:t>
            </w:r>
          </w:p>
        </w:tc>
        <w:tc>
          <w:tcPr>
            <w:tcW w:type="dxa" w:w="1746"/>
          </w:tcPr>
          <w:p>
            <w:pPr>
              <w:spacing w:lineRule="auto" w:line="240" w:before="20" w:after="20"/>
            </w:pPr>
            <w:r/>
            <w:r>
              <w:rPr>
                <w:rFonts w:ascii="仿宋" w:hAnsi="仿宋" w:eastAsia="仿宋" w:cs="仿宋"/>
                <w:b w:val="0"/>
                <w:sz w:val="21"/>
              </w:rPr>
              <w:t>（2026）湘8601行初374号《行政判决书》（全文）</w:t>
            </w:r>
          </w:p>
        </w:tc>
        <w:tc>
          <w:tcPr>
            <w:tcW w:type="dxa" w:w="1746"/>
          </w:tcPr>
          <w:p>
            <w:pPr>
              <w:spacing w:lineRule="auto" w:line="240" w:before="20" w:after="20"/>
            </w:pPr>
            <w:r/>
            <w:r>
              <w:rPr>
                <w:rFonts w:ascii="仿宋" w:hAnsi="仿宋" w:eastAsia="仿宋" w:cs="仿宋"/>
                <w:b w:val="0"/>
                <w:sz w:val="21"/>
              </w:rPr>
              <w:t>复印件</w:t>
            </w:r>
          </w:p>
        </w:tc>
        <w:tc>
          <w:tcPr>
            <w:tcW w:type="dxa" w:w="1746"/>
          </w:tcPr>
          <w:p>
            <w:pPr>
              <w:spacing w:lineRule="auto" w:line="240" w:before="20" w:after="20"/>
            </w:pPr>
            <w:r/>
            <w:r>
              <w:rPr>
                <w:rFonts w:ascii="仿宋" w:hAnsi="仿宋" w:eastAsia="仿宋" w:cs="仿宋"/>
                <w:b w:val="0"/>
                <w:sz w:val="21"/>
              </w:rPr>
              <w:t>15</w:t>
            </w:r>
          </w:p>
        </w:tc>
        <w:tc>
          <w:tcPr>
            <w:tcW w:type="dxa" w:w="1746"/>
          </w:tcPr>
          <w:p>
            <w:pPr>
              <w:spacing w:lineRule="auto" w:line="240" w:before="20" w:after="20"/>
            </w:pPr>
            <w:r/>
            <w:r>
              <w:rPr>
                <w:rFonts w:ascii="仿宋" w:hAnsi="仿宋" w:eastAsia="仿宋" w:cs="仿宋"/>
                <w:b w:val="0"/>
                <w:sz w:val="21"/>
              </w:rPr>
              <w:t>该生效判决第9页查明：中铁建物业长沙分公司于</w:t>
            </w:r>
            <w:r>
              <w:rPr>
                <w:rFonts w:ascii="仿宋" w:hAnsi="仿宋" w:eastAsia="仿宋" w:cs="仿宋"/>
                <w:b/>
                <w:sz w:val="21"/>
              </w:rPr>
              <w:t>2025年11月20日</w:t>
            </w:r>
            <w:r>
              <w:rPr>
                <w:rFonts w:ascii="仿宋" w:hAnsi="仿宋" w:eastAsia="仿宋" w:cs="仿宋"/>
                <w:b w:val="0"/>
                <w:sz w:val="21"/>
              </w:rPr>
              <w:t>方向开福区住建局提交《前期物业服务合同》等材料办理备案，且系上诉人投诉后经行政机关下达《责令改正通知书》责令整改而补办；第13页认定该备案"属于</w:t>
            </w:r>
            <w:r>
              <w:rPr>
                <w:rFonts w:ascii="仿宋" w:hAnsi="仿宋" w:eastAsia="仿宋" w:cs="仿宋"/>
                <w:b/>
                <w:sz w:val="21"/>
              </w:rPr>
              <w:t>形式审查、告知性备案</w:t>
            </w:r>
            <w:r>
              <w:rPr>
                <w:rFonts w:ascii="仿宋" w:hAnsi="仿宋" w:eastAsia="仿宋" w:cs="仿宋"/>
                <w:b w:val="0"/>
                <w:sz w:val="21"/>
              </w:rPr>
              <w:t>，仅对备案材料是否齐全、备案主体是否适格等进行审查，</w:t>
            </w:r>
            <w:r>
              <w:rPr>
                <w:rFonts w:ascii="仿宋" w:hAnsi="仿宋" w:eastAsia="仿宋" w:cs="仿宋"/>
                <w:b/>
                <w:sz w:val="21"/>
              </w:rPr>
              <w:t>而不具有对材料内容进行实质审查的法定责任</w:t>
            </w:r>
            <w:r>
              <w:rPr>
                <w:rFonts w:ascii="仿宋" w:hAnsi="仿宋" w:eastAsia="仿宋" w:cs="仿宋"/>
                <w:b w:val="0"/>
                <w:sz w:val="21"/>
              </w:rPr>
              <w:t>"。</w:t>
            </w:r>
          </w:p>
        </w:tc>
      </w:tr>
      <w:tr>
        <w:tc>
          <w:tcPr>
            <w:tcW w:type="dxa" w:w="1746"/>
          </w:tcPr>
          <w:p>
            <w:pPr>
              <w:spacing w:lineRule="auto" w:line="240" w:before="20" w:after="20"/>
            </w:pPr>
            <w:r/>
            <w:r>
              <w:rPr>
                <w:rFonts w:ascii="仿宋" w:hAnsi="仿宋" w:eastAsia="仿宋" w:cs="仿宋"/>
                <w:b w:val="0"/>
                <w:sz w:val="21"/>
              </w:rPr>
              <w:t>13</w:t>
            </w:r>
          </w:p>
        </w:tc>
        <w:tc>
          <w:tcPr>
            <w:tcW w:type="dxa" w:w="1746"/>
          </w:tcPr>
          <w:p>
            <w:pPr>
              <w:spacing w:lineRule="auto" w:line="240" w:before="20" w:after="20"/>
            </w:pPr>
            <w:r/>
            <w:r>
              <w:rPr>
                <w:rFonts w:ascii="仿宋" w:hAnsi="仿宋" w:eastAsia="仿宋" w:cs="仿宋"/>
                <w:b w:val="0"/>
                <w:sz w:val="21"/>
              </w:rPr>
              <w:t>被上诉人一在（2026）湘8601行初374号案提交的书面《答辩意见》</w:t>
            </w:r>
          </w:p>
        </w:tc>
        <w:tc>
          <w:tcPr>
            <w:tcW w:type="dxa" w:w="1746"/>
          </w:tcPr>
          <w:p>
            <w:pPr>
              <w:spacing w:lineRule="auto" w:line="240" w:before="20" w:after="20"/>
            </w:pPr>
            <w:r/>
            <w:r>
              <w:rPr>
                <w:rFonts w:ascii="仿宋" w:hAnsi="仿宋" w:eastAsia="仿宋" w:cs="仿宋"/>
                <w:b w:val="0"/>
                <w:sz w:val="21"/>
              </w:rPr>
              <w:t>复印件（原件在该案卷宗，申请调取核对）</w:t>
            </w:r>
          </w:p>
        </w:tc>
        <w:tc>
          <w:tcPr>
            <w:tcW w:type="dxa" w:w="1746"/>
          </w:tcPr>
          <w:p>
            <w:pPr>
              <w:spacing w:lineRule="auto" w:line="240" w:before="20" w:after="20"/>
            </w:pPr>
            <w:r/>
            <w:r>
              <w:rPr>
                <w:rFonts w:ascii="仿宋" w:hAnsi="仿宋" w:eastAsia="仿宋" w:cs="仿宋"/>
                <w:b w:val="0"/>
                <w:sz w:val="21"/>
              </w:rPr>
              <w:t>3</w:t>
            </w:r>
          </w:p>
        </w:tc>
        <w:tc>
          <w:tcPr>
            <w:tcW w:type="dxa" w:w="1746"/>
          </w:tcPr>
          <w:p>
            <w:pPr>
              <w:spacing w:lineRule="auto" w:line="240" w:before="20" w:after="20"/>
            </w:pPr>
            <w:r/>
            <w:r>
              <w:rPr>
                <w:rFonts w:ascii="仿宋" w:hAnsi="仿宋" w:eastAsia="仿宋" w:cs="仿宋"/>
                <w:b w:val="0"/>
                <w:sz w:val="21"/>
              </w:rPr>
              <w:t>被上诉人一在该案中陈述：前期物业服务合同备案"是一种</w:t>
            </w:r>
            <w:r>
              <w:rPr>
                <w:rFonts w:ascii="仿宋" w:hAnsi="仿宋" w:eastAsia="仿宋" w:cs="仿宋"/>
                <w:b/>
                <w:sz w:val="21"/>
              </w:rPr>
              <w:t>告知性备案</w:t>
            </w:r>
            <w:r>
              <w:rPr>
                <w:rFonts w:ascii="仿宋" w:hAnsi="仿宋" w:eastAsia="仿宋" w:cs="仿宋"/>
                <w:b w:val="0"/>
                <w:sz w:val="21"/>
              </w:rPr>
              <w:t>……</w:t>
            </w:r>
            <w:r>
              <w:rPr>
                <w:rFonts w:ascii="仿宋" w:hAnsi="仿宋" w:eastAsia="仿宋" w:cs="仿宋"/>
                <w:b/>
                <w:sz w:val="21"/>
              </w:rPr>
              <w:t>不属于行政确认或行政许可事项</w:t>
            </w:r>
            <w:r>
              <w:rPr>
                <w:rFonts w:ascii="仿宋" w:hAnsi="仿宋" w:eastAsia="仿宋" w:cs="仿宋"/>
                <w:b w:val="0"/>
                <w:sz w:val="21"/>
              </w:rPr>
              <w:t>"。</w:t>
            </w:r>
          </w:p>
        </w:tc>
      </w:tr>
    </w:tbl>
    <w:p/>
    <w:p>
      <w:pPr>
        <w:spacing w:lineRule="exact" w:line="560" w:before="40" w:after="40"/>
        <w:ind w:firstLine="600"/>
        <w:jc w:val="both"/>
      </w:pPr>
      <w:r>
        <w:rPr>
          <w:rFonts w:ascii="仿宋" w:hAnsi="仿宋" w:eastAsia="仿宋" w:cs="仿宋"/>
          <w:b/>
          <w:sz w:val="30"/>
        </w:rPr>
        <w:t>本组综合证明目的：</w:t>
      </w:r>
    </w:p>
    <w:p>
      <w:pPr>
        <w:spacing w:lineRule="exact" w:line="560" w:before="40" w:after="40"/>
        <w:ind w:firstLine="600"/>
        <w:jc w:val="both"/>
      </w:pPr>
      <w:r>
        <w:rPr>
          <w:rFonts w:ascii="仿宋" w:hAnsi="仿宋" w:eastAsia="仿宋" w:cs="仿宋"/>
          <w:b w:val="0"/>
          <w:sz w:val="30"/>
        </w:rPr>
        <w:t>一、</w:t>
      </w:r>
      <w:r>
        <w:rPr>
          <w:rFonts w:ascii="仿宋" w:hAnsi="仿宋" w:eastAsia="仿宋" w:cs="仿宋"/>
          <w:b/>
          <w:sz w:val="30"/>
        </w:rPr>
        <w:t>须区分两种不同的备案：</w:t>
      </w:r>
      <w:r>
        <w:rPr>
          <w:rFonts w:ascii="仿宋" w:hAnsi="仿宋" w:eastAsia="仿宋" w:cs="仿宋"/>
          <w:b w:val="0"/>
          <w:sz w:val="30"/>
        </w:rPr>
        <w:t xml:space="preserve"> 2014年、2016年办理的是</w:t>
      </w:r>
      <w:r>
        <w:rPr>
          <w:rFonts w:ascii="仿宋" w:hAnsi="仿宋" w:eastAsia="仿宋" w:cs="仿宋"/>
          <w:b/>
          <w:sz w:val="30"/>
        </w:rPr>
        <w:t>招投标备案</w:t>
      </w:r>
      <w:r>
        <w:rPr>
          <w:rFonts w:ascii="仿宋" w:hAnsi="仿宋" w:eastAsia="仿宋" w:cs="仿宋"/>
          <w:b w:val="0"/>
          <w:sz w:val="30"/>
        </w:rPr>
        <w:t>；2025年11月20日补办的是</w:t>
      </w:r>
      <w:r>
        <w:rPr>
          <w:rFonts w:ascii="仿宋" w:hAnsi="仿宋" w:eastAsia="仿宋" w:cs="仿宋"/>
          <w:b/>
          <w:sz w:val="30"/>
        </w:rPr>
        <w:t>前期物业服务合同备案</w:t>
      </w:r>
      <w:r>
        <w:rPr>
          <w:rFonts w:ascii="仿宋" w:hAnsi="仿宋" w:eastAsia="仿宋" w:cs="仿宋"/>
          <w:b w:val="0"/>
          <w:sz w:val="30"/>
        </w:rPr>
        <w:t>。被上诉人在一审答辩中以"案涉《前期物业服务合同》招标结果已进行了备案""中标结果经主管部门</w:t>
      </w:r>
      <w:r>
        <w:rPr>
          <w:rFonts w:ascii="仿宋" w:hAnsi="仿宋" w:eastAsia="仿宋" w:cs="仿宋"/>
          <w:b/>
          <w:sz w:val="30"/>
        </w:rPr>
        <w:t>审查后备案</w:t>
      </w:r>
      <w:r>
        <w:rPr>
          <w:rFonts w:ascii="仿宋" w:hAnsi="仿宋" w:eastAsia="仿宋" w:cs="仿宋"/>
          <w:b w:val="0"/>
          <w:sz w:val="30"/>
        </w:rPr>
        <w:t>，被告中标有效"论证合同合法有效，混同了上述两个不同的行政行为。</w:t>
      </w:r>
    </w:p>
    <w:p>
      <w:pPr>
        <w:spacing w:lineRule="exact" w:line="560" w:before="40" w:after="40"/>
        <w:ind w:firstLine="600"/>
        <w:jc w:val="both"/>
      </w:pPr>
      <w:r>
        <w:rPr>
          <w:rFonts w:ascii="仿宋" w:hAnsi="仿宋" w:eastAsia="仿宋" w:cs="仿宋"/>
          <w:b w:val="0"/>
          <w:sz w:val="30"/>
        </w:rPr>
        <w:t>二、</w:t>
      </w:r>
      <w:r>
        <w:rPr>
          <w:rFonts w:ascii="仿宋" w:hAnsi="仿宋" w:eastAsia="仿宋" w:cs="仿宋"/>
          <w:b/>
          <w:sz w:val="30"/>
        </w:rPr>
        <w:t>被上诉人一就同一事项在两个诉讼中作出相反陈述：</w:t>
      </w:r>
      <w:r>
        <w:rPr>
          <w:rFonts w:ascii="仿宋" w:hAnsi="仿宋" w:eastAsia="仿宋" w:cs="仿宋"/>
          <w:b w:val="0"/>
          <w:sz w:val="30"/>
        </w:rPr>
        <w:t xml:space="preserve"> 在374号行政案中主张备案"不属于行政确认或行政许可事项"（该主张已为374号生效判决所采纳），在本案中却主张"中标结果经主管部门审查后备案"。依诚信原则，其在本案中的该项抗辩不应采信。</w:t>
      </w:r>
    </w:p>
    <w:p>
      <w:pPr>
        <w:spacing w:lineRule="exact" w:line="560" w:before="40" w:after="40"/>
        <w:ind w:firstLine="600"/>
        <w:jc w:val="both"/>
      </w:pPr>
      <w:r>
        <w:rPr>
          <w:rFonts w:ascii="仿宋" w:hAnsi="仿宋" w:eastAsia="仿宋" w:cs="仿宋"/>
          <w:b w:val="0"/>
          <w:sz w:val="30"/>
        </w:rPr>
        <w:t>三、《湖南省物业管理条例》第二十九条要求前期物业服务企业自物业交接后</w:t>
      </w:r>
      <w:r>
        <w:rPr>
          <w:rFonts w:ascii="仿宋" w:hAnsi="仿宋" w:eastAsia="仿宋" w:cs="仿宋"/>
          <w:b/>
          <w:sz w:val="30"/>
        </w:rPr>
        <w:t>三十日内</w:t>
      </w:r>
      <w:r>
        <w:rPr>
          <w:rFonts w:ascii="仿宋" w:hAnsi="仿宋" w:eastAsia="仿宋" w:cs="仿宋"/>
          <w:b w:val="0"/>
          <w:sz w:val="30"/>
        </w:rPr>
        <w:t>办理备案；结合证据8，该企业自2012年即在案涉小区提供服务，至2025年11月20日方完成合同备案。</w:t>
      </w:r>
    </w:p>
    <w:p>
      <w:pPr>
        <w:spacing w:lineRule="exact" w:line="560" w:before="160" w:after="80"/>
      </w:pPr>
      <w:r>
        <w:rPr>
          <w:rFonts w:ascii="仿宋" w:hAnsi="仿宋" w:eastAsia="仿宋" w:cs="仿宋"/>
          <w:b/>
          <w:sz w:val="30"/>
        </w:rPr>
        <w:t>第五组　证明行政诉讼与本案民事诉讼相互独立</w:t>
      </w:r>
    </w:p>
    <w:tbl>
      <w:tblPr>
        <w:tblW w:type="auto" w:w="0"/>
        <w:jc w:val="center"/>
        <w:tblLayout w:type="autofit"/>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1746"/>
        <w:gridCol w:w="1746"/>
        <w:gridCol w:w="1746"/>
        <w:gridCol w:w="1746"/>
        <w:gridCol w:w="1746"/>
      </w:tblGrid>
      <w:tr>
        <w:tc>
          <w:tcPr>
            <w:tcW w:type="dxa" w:w="1746"/>
          </w:tcPr>
          <w:p>
            <w:pPr>
              <w:spacing w:lineRule="auto" w:line="240" w:before="20" w:after="20"/>
            </w:pPr>
            <w:r/>
            <w:r>
              <w:rPr>
                <w:rFonts w:ascii="仿宋" w:hAnsi="仿宋" w:eastAsia="仿宋" w:cs="仿宋"/>
                <w:b/>
                <w:sz w:val="21"/>
              </w:rPr>
              <w:t>序号</w:t>
            </w:r>
          </w:p>
        </w:tc>
        <w:tc>
          <w:tcPr>
            <w:tcW w:type="dxa" w:w="1746"/>
          </w:tcPr>
          <w:p>
            <w:pPr>
              <w:spacing w:lineRule="auto" w:line="240" w:before="20" w:after="20"/>
            </w:pPr>
            <w:r/>
            <w:r>
              <w:rPr>
                <w:rFonts w:ascii="仿宋" w:hAnsi="仿宋" w:eastAsia="仿宋" w:cs="仿宋"/>
                <w:b/>
                <w:sz w:val="21"/>
              </w:rPr>
              <w:t>证据名称</w:t>
            </w:r>
          </w:p>
        </w:tc>
        <w:tc>
          <w:tcPr>
            <w:tcW w:type="dxa" w:w="1746"/>
          </w:tcPr>
          <w:p>
            <w:pPr>
              <w:spacing w:lineRule="auto" w:line="240" w:before="20" w:after="20"/>
            </w:pPr>
            <w:r/>
            <w:r>
              <w:rPr>
                <w:rFonts w:ascii="仿宋" w:hAnsi="仿宋" w:eastAsia="仿宋" w:cs="仿宋"/>
                <w:b/>
                <w:sz w:val="21"/>
              </w:rPr>
              <w:t>形式</w:t>
            </w:r>
          </w:p>
        </w:tc>
        <w:tc>
          <w:tcPr>
            <w:tcW w:type="dxa" w:w="1746"/>
          </w:tcPr>
          <w:p>
            <w:pPr>
              <w:spacing w:lineRule="auto" w:line="240" w:before="20" w:after="20"/>
            </w:pPr>
            <w:r/>
            <w:r>
              <w:rPr>
                <w:rFonts w:ascii="仿宋" w:hAnsi="仿宋" w:eastAsia="仿宋" w:cs="仿宋"/>
                <w:b/>
                <w:sz w:val="21"/>
              </w:rPr>
              <w:t>页数</w:t>
            </w:r>
          </w:p>
        </w:tc>
        <w:tc>
          <w:tcPr>
            <w:tcW w:type="dxa" w:w="1746"/>
          </w:tcPr>
          <w:p>
            <w:pPr>
              <w:spacing w:lineRule="auto" w:line="240" w:before="20" w:after="20"/>
            </w:pPr>
            <w:r/>
            <w:r>
              <w:rPr>
                <w:rFonts w:ascii="仿宋" w:hAnsi="仿宋" w:eastAsia="仿宋" w:cs="仿宋"/>
                <w:b/>
                <w:sz w:val="21"/>
              </w:rPr>
              <w:t>证明目的</w:t>
            </w:r>
          </w:p>
        </w:tc>
      </w:tr>
      <w:tr>
        <w:tc>
          <w:tcPr>
            <w:tcW w:type="dxa" w:w="1746"/>
          </w:tcPr>
          <w:p>
            <w:pPr>
              <w:spacing w:lineRule="auto" w:line="240" w:before="20" w:after="20"/>
            </w:pPr>
            <w:r/>
            <w:r>
              <w:rPr>
                <w:rFonts w:ascii="仿宋" w:hAnsi="仿宋" w:eastAsia="仿宋" w:cs="仿宋"/>
                <w:b w:val="0"/>
                <w:sz w:val="21"/>
              </w:rPr>
              <w:t>14</w:t>
            </w:r>
          </w:p>
        </w:tc>
        <w:tc>
          <w:tcPr>
            <w:tcW w:type="dxa" w:w="1746"/>
          </w:tcPr>
          <w:p>
            <w:pPr>
              <w:spacing w:lineRule="auto" w:line="240" w:before="20" w:after="20"/>
            </w:pPr>
            <w:r/>
            <w:r>
              <w:rPr>
                <w:rFonts w:ascii="仿宋" w:hAnsi="仿宋" w:eastAsia="仿宋" w:cs="仿宋"/>
                <w:b w:val="0"/>
                <w:sz w:val="21"/>
              </w:rPr>
              <w:t>（2026）湘8601行初374号《行政判决书》第13页</w:t>
            </w:r>
          </w:p>
        </w:tc>
        <w:tc>
          <w:tcPr>
            <w:tcW w:type="dxa" w:w="1746"/>
          </w:tcPr>
          <w:p>
            <w:pPr>
              <w:spacing w:lineRule="auto" w:line="240" w:before="20" w:after="20"/>
            </w:pPr>
            <w:r/>
            <w:r>
              <w:rPr>
                <w:rFonts w:ascii="仿宋" w:hAnsi="仿宋" w:eastAsia="仿宋" w:cs="仿宋"/>
                <w:b w:val="0"/>
                <w:sz w:val="21"/>
              </w:rPr>
              <w:t>复印件</w:t>
            </w:r>
          </w:p>
        </w:tc>
        <w:tc>
          <w:tcPr>
            <w:tcW w:type="dxa" w:w="1746"/>
          </w:tcPr>
          <w:p>
            <w:pPr>
              <w:spacing w:lineRule="auto" w:line="240" w:before="20" w:after="20"/>
            </w:pPr>
            <w:r/>
            <w:r>
              <w:rPr>
                <w:rFonts w:ascii="仿宋" w:hAnsi="仿宋" w:eastAsia="仿宋" w:cs="仿宋"/>
                <w:b w:val="0"/>
                <w:sz w:val="21"/>
              </w:rPr>
              <w:t>1</w:t>
            </w:r>
          </w:p>
        </w:tc>
        <w:tc>
          <w:tcPr>
            <w:tcW w:type="dxa" w:w="1746"/>
          </w:tcPr>
          <w:p>
            <w:pPr>
              <w:spacing w:lineRule="auto" w:line="240" w:before="20" w:after="20"/>
            </w:pPr>
            <w:r/>
            <w:r>
              <w:rPr>
                <w:rFonts w:ascii="仿宋" w:hAnsi="仿宋" w:eastAsia="仿宋" w:cs="仿宋"/>
                <w:b w:val="0"/>
                <w:sz w:val="21"/>
              </w:rPr>
              <w:t>该生效判决明确认定："</w:t>
            </w:r>
            <w:r>
              <w:rPr>
                <w:rFonts w:ascii="仿宋" w:hAnsi="仿宋" w:eastAsia="仿宋" w:cs="仿宋"/>
                <w:b/>
                <w:sz w:val="21"/>
              </w:rPr>
              <w:t>前期物业服务合同的民事效力问题，不影响对本案被诉行政行为合法性的评判</w:t>
            </w:r>
            <w:r>
              <w:rPr>
                <w:rFonts w:ascii="仿宋" w:hAnsi="仿宋" w:eastAsia="仿宋" w:cs="仿宋"/>
                <w:b w:val="0"/>
                <w:sz w:val="21"/>
              </w:rPr>
              <w:t>"，并据此驳回第三人（即本案被上诉人一）提出的中止行政诉讼申请。</w:t>
            </w:r>
          </w:p>
        </w:tc>
      </w:tr>
    </w:tbl>
    <w:p/>
    <w:p>
      <w:pPr>
        <w:spacing w:lineRule="exact" w:line="560" w:before="40" w:after="40"/>
        <w:ind w:firstLine="600"/>
        <w:jc w:val="both"/>
      </w:pPr>
      <w:r>
        <w:rPr>
          <w:rFonts w:ascii="仿宋" w:hAnsi="仿宋" w:eastAsia="仿宋" w:cs="仿宋"/>
          <w:b/>
          <w:sz w:val="30"/>
        </w:rPr>
        <w:t>本组证明目的：</w:t>
      </w:r>
    </w:p>
    <w:p>
      <w:pPr>
        <w:spacing w:lineRule="exact" w:line="560" w:before="40" w:after="40"/>
        <w:ind w:firstLine="600"/>
        <w:jc w:val="both"/>
      </w:pPr>
      <w:r>
        <w:rPr>
          <w:rFonts w:ascii="仿宋" w:hAnsi="仿宋" w:eastAsia="仿宋" w:cs="仿宋"/>
          <w:b w:val="0"/>
          <w:sz w:val="30"/>
        </w:rPr>
        <w:t>被上诉人一曾在行政案件中主张"行政案件的审理依赖于民事案件的审理结果"，人民法院明确认定两个程序相互独立。依同一逻辑的对称适用，</w:t>
      </w:r>
      <w:r>
        <w:rPr>
          <w:rFonts w:ascii="仿宋" w:hAnsi="仿宋" w:eastAsia="仿宋" w:cs="仿宋"/>
          <w:b/>
          <w:sz w:val="30"/>
        </w:rPr>
        <w:t>行政案件中关于原告主体资格、备案行为合法性的判断，同样不应约束民事法院对合同效力及民事诉权的认定。</w:t>
      </w:r>
      <w:r>
        <w:rPr>
          <w:rFonts w:ascii="仿宋" w:hAnsi="仿宋" w:eastAsia="仿宋" w:cs="仿宋"/>
          <w:b w:val="0"/>
          <w:sz w:val="30"/>
        </w:rPr>
        <w:t xml:space="preserve"> 该判决第9页并已认定"原告李国平与被诉答复行为存在法律上的利害关系，具备提起本案行政诉讼的主体资格"。</w:t>
      </w:r>
    </w:p>
    <w:p>
      <w:pPr>
        <w:spacing w:lineRule="exact" w:line="560" w:before="160" w:after="80"/>
      </w:pPr>
      <w:r>
        <w:rPr>
          <w:rFonts w:ascii="仿宋" w:hAnsi="仿宋" w:eastAsia="仿宋" w:cs="仿宋"/>
          <w:b/>
          <w:sz w:val="30"/>
        </w:rPr>
        <w:t>第六组　证明项目开发总建筑面积与原判认定不符</w:t>
      </w:r>
    </w:p>
    <w:tbl>
      <w:tblPr>
        <w:tblW w:type="auto" w:w="0"/>
        <w:jc w:val="center"/>
        <w:tblLayout w:type="autofit"/>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1746"/>
        <w:gridCol w:w="1746"/>
        <w:gridCol w:w="1746"/>
        <w:gridCol w:w="1746"/>
        <w:gridCol w:w="1746"/>
      </w:tblGrid>
      <w:tr>
        <w:tc>
          <w:tcPr>
            <w:tcW w:type="dxa" w:w="1746"/>
          </w:tcPr>
          <w:p>
            <w:pPr>
              <w:spacing w:lineRule="auto" w:line="240" w:before="20" w:after="20"/>
            </w:pPr>
            <w:r/>
            <w:r>
              <w:rPr>
                <w:rFonts w:ascii="仿宋" w:hAnsi="仿宋" w:eastAsia="仿宋" w:cs="仿宋"/>
                <w:b/>
                <w:sz w:val="21"/>
              </w:rPr>
              <w:t>序号</w:t>
            </w:r>
          </w:p>
        </w:tc>
        <w:tc>
          <w:tcPr>
            <w:tcW w:type="dxa" w:w="1746"/>
          </w:tcPr>
          <w:p>
            <w:pPr>
              <w:spacing w:lineRule="auto" w:line="240" w:before="20" w:after="20"/>
            </w:pPr>
            <w:r/>
            <w:r>
              <w:rPr>
                <w:rFonts w:ascii="仿宋" w:hAnsi="仿宋" w:eastAsia="仿宋" w:cs="仿宋"/>
                <w:b/>
                <w:sz w:val="21"/>
              </w:rPr>
              <w:t>证据名称</w:t>
            </w:r>
          </w:p>
        </w:tc>
        <w:tc>
          <w:tcPr>
            <w:tcW w:type="dxa" w:w="1746"/>
          </w:tcPr>
          <w:p>
            <w:pPr>
              <w:spacing w:lineRule="auto" w:line="240" w:before="20" w:after="20"/>
            </w:pPr>
            <w:r/>
            <w:r>
              <w:rPr>
                <w:rFonts w:ascii="仿宋" w:hAnsi="仿宋" w:eastAsia="仿宋" w:cs="仿宋"/>
                <w:b/>
                <w:sz w:val="21"/>
              </w:rPr>
              <w:t>形式</w:t>
            </w:r>
          </w:p>
        </w:tc>
        <w:tc>
          <w:tcPr>
            <w:tcW w:type="dxa" w:w="1746"/>
          </w:tcPr>
          <w:p>
            <w:pPr>
              <w:spacing w:lineRule="auto" w:line="240" w:before="20" w:after="20"/>
            </w:pPr>
            <w:r/>
            <w:r>
              <w:rPr>
                <w:rFonts w:ascii="仿宋" w:hAnsi="仿宋" w:eastAsia="仿宋" w:cs="仿宋"/>
                <w:b/>
                <w:sz w:val="21"/>
              </w:rPr>
              <w:t>页数</w:t>
            </w:r>
          </w:p>
        </w:tc>
        <w:tc>
          <w:tcPr>
            <w:tcW w:type="dxa" w:w="1746"/>
          </w:tcPr>
          <w:p>
            <w:pPr>
              <w:spacing w:lineRule="auto" w:line="240" w:before="20" w:after="20"/>
            </w:pPr>
            <w:r/>
            <w:r>
              <w:rPr>
                <w:rFonts w:ascii="仿宋" w:hAnsi="仿宋" w:eastAsia="仿宋" w:cs="仿宋"/>
                <w:b/>
                <w:sz w:val="21"/>
              </w:rPr>
              <w:t>证明目的</w:t>
            </w:r>
          </w:p>
        </w:tc>
      </w:tr>
      <w:tr>
        <w:tc>
          <w:tcPr>
            <w:tcW w:type="dxa" w:w="1746"/>
          </w:tcPr>
          <w:p>
            <w:pPr>
              <w:spacing w:lineRule="auto" w:line="240" w:before="20" w:after="20"/>
            </w:pPr>
            <w:r/>
            <w:r>
              <w:rPr>
                <w:rFonts w:ascii="仿宋" w:hAnsi="仿宋" w:eastAsia="仿宋" w:cs="仿宋"/>
                <w:b w:val="0"/>
                <w:sz w:val="21"/>
              </w:rPr>
              <w:t>15</w:t>
            </w:r>
          </w:p>
        </w:tc>
        <w:tc>
          <w:tcPr>
            <w:tcW w:type="dxa" w:w="1746"/>
          </w:tcPr>
          <w:p>
            <w:pPr>
              <w:spacing w:lineRule="auto" w:line="240" w:before="20" w:after="20"/>
            </w:pPr>
            <w:r/>
            <w:r>
              <w:rPr>
                <w:rFonts w:ascii="仿宋" w:hAnsi="仿宋" w:eastAsia="仿宋" w:cs="仿宋"/>
                <w:b w:val="0"/>
                <w:sz w:val="21"/>
              </w:rPr>
              <w:t>案涉项目13#栋《建设工程规划许可证》（2017年6月30日换发，证号沿用建1〔2014〕0192）</w:t>
            </w:r>
          </w:p>
        </w:tc>
        <w:tc>
          <w:tcPr>
            <w:tcW w:type="dxa" w:w="1746"/>
          </w:tcPr>
          <w:p>
            <w:pPr>
              <w:spacing w:lineRule="auto" w:line="240" w:before="20" w:after="20"/>
            </w:pPr>
            <w:r/>
            <w:r>
              <w:rPr>
                <w:rFonts w:ascii="仿宋" w:hAnsi="仿宋" w:eastAsia="仿宋" w:cs="仿宋"/>
                <w:b w:val="0"/>
                <w:sz w:val="21"/>
              </w:rPr>
              <w:t>复印件</w:t>
            </w:r>
          </w:p>
        </w:tc>
        <w:tc>
          <w:tcPr>
            <w:tcW w:type="dxa" w:w="1746"/>
          </w:tcPr>
          <w:p>
            <w:pPr>
              <w:spacing w:lineRule="auto" w:line="240" w:before="20" w:after="20"/>
            </w:pPr>
            <w:r/>
            <w:r>
              <w:rPr>
                <w:rFonts w:ascii="仿宋" w:hAnsi="仿宋" w:eastAsia="仿宋" w:cs="仿宋"/>
                <w:b w:val="0"/>
                <w:sz w:val="21"/>
              </w:rPr>
              <w:t>1</w:t>
            </w:r>
          </w:p>
        </w:tc>
        <w:tc>
          <w:tcPr>
            <w:tcW w:type="dxa" w:w="1746"/>
          </w:tcPr>
          <w:p>
            <w:pPr>
              <w:spacing w:lineRule="auto" w:line="240" w:before="20" w:after="20"/>
            </w:pPr>
            <w:r/>
            <w:r>
              <w:rPr>
                <w:rFonts w:ascii="仿宋" w:hAnsi="仿宋" w:eastAsia="仿宋" w:cs="仿宋"/>
                <w:b w:val="0"/>
                <w:sz w:val="21"/>
              </w:rPr>
              <w:t>载明该</w:t>
            </w:r>
            <w:r>
              <w:rPr>
                <w:rFonts w:ascii="仿宋" w:hAnsi="仿宋" w:eastAsia="仿宋" w:cs="仿宋"/>
                <w:b/>
                <w:sz w:val="21"/>
              </w:rPr>
              <w:t>单体</w:t>
            </w:r>
            <w:r>
              <w:rPr>
                <w:rFonts w:ascii="仿宋" w:hAnsi="仿宋" w:eastAsia="仿宋" w:cs="仿宋"/>
                <w:b w:val="0"/>
                <w:sz w:val="21"/>
              </w:rPr>
              <w:t>建设规模为</w:t>
            </w:r>
            <w:r>
              <w:rPr>
                <w:rFonts w:ascii="仿宋" w:hAnsi="仿宋" w:eastAsia="仿宋" w:cs="仿宋"/>
                <w:b/>
                <w:sz w:val="21"/>
              </w:rPr>
              <w:t>30,060.52㎡</w:t>
            </w:r>
            <w:r>
              <w:rPr>
                <w:rFonts w:ascii="仿宋" w:hAnsi="仿宋" w:eastAsia="仿宋" w:cs="仿宋"/>
                <w:b w:val="0"/>
                <w:sz w:val="21"/>
              </w:rPr>
              <w:t>，与一审判决第9页所认定的"山语城三期小区</w:t>
            </w:r>
            <w:r>
              <w:rPr>
                <w:rFonts w:ascii="仿宋" w:hAnsi="仿宋" w:eastAsia="仿宋" w:cs="仿宋"/>
                <w:b/>
                <w:sz w:val="21"/>
              </w:rPr>
              <w:t>总建筑面积</w:t>
            </w:r>
            <w:r>
              <w:rPr>
                <w:rFonts w:ascii="仿宋" w:hAnsi="仿宋" w:eastAsia="仿宋" w:cs="仿宋"/>
                <w:b w:val="0"/>
                <w:sz w:val="21"/>
              </w:rPr>
              <w:t>30060.52平方米"逐位相同。证明原判系将一个单体建筑的建设规模认定为整个开发项目的总建筑面积。</w:t>
            </w:r>
          </w:p>
        </w:tc>
      </w:tr>
      <w:tr>
        <w:tc>
          <w:tcPr>
            <w:tcW w:type="dxa" w:w="1746"/>
          </w:tcPr>
          <w:p>
            <w:pPr>
              <w:spacing w:lineRule="auto" w:line="240" w:before="20" w:after="20"/>
            </w:pPr>
            <w:r/>
            <w:r>
              <w:rPr>
                <w:rFonts w:ascii="仿宋" w:hAnsi="仿宋" w:eastAsia="仿宋" w:cs="仿宋"/>
                <w:b w:val="0"/>
                <w:sz w:val="21"/>
              </w:rPr>
              <w:t>16</w:t>
            </w:r>
          </w:p>
        </w:tc>
        <w:tc>
          <w:tcPr>
            <w:tcW w:type="dxa" w:w="1746"/>
          </w:tcPr>
          <w:p>
            <w:pPr>
              <w:spacing w:lineRule="auto" w:line="240" w:before="20" w:after="20"/>
            </w:pPr>
            <w:r/>
            <w:r>
              <w:rPr>
                <w:rFonts w:ascii="仿宋" w:hAnsi="仿宋" w:eastAsia="仿宋" w:cs="仿宋"/>
                <w:b w:val="0"/>
                <w:sz w:val="21"/>
              </w:rPr>
              <w:t>案涉项目各栋《建设工程规划许可证》及规划技术经济指标复核材料</w:t>
            </w:r>
          </w:p>
        </w:tc>
        <w:tc>
          <w:tcPr>
            <w:tcW w:type="dxa" w:w="1746"/>
          </w:tcPr>
          <w:p>
            <w:pPr>
              <w:spacing w:lineRule="auto" w:line="240" w:before="20" w:after="20"/>
            </w:pPr>
            <w:r/>
            <w:r>
              <w:rPr>
                <w:rFonts w:ascii="仿宋" w:hAnsi="仿宋" w:eastAsia="仿宋" w:cs="仿宋"/>
                <w:b w:val="0"/>
                <w:sz w:val="21"/>
              </w:rPr>
              <w:t>复印件</w:t>
            </w:r>
          </w:p>
        </w:tc>
        <w:tc>
          <w:tcPr>
            <w:tcW w:type="dxa" w:w="1746"/>
          </w:tcPr>
          <w:p>
            <w:pPr>
              <w:spacing w:lineRule="auto" w:line="240" w:before="20" w:after="20"/>
            </w:pPr>
            <w:r/>
            <w:r>
              <w:rPr>
                <w:rFonts w:ascii="仿宋" w:hAnsi="仿宋" w:eastAsia="仿宋" w:cs="仿宋"/>
                <w:b w:val="0"/>
                <w:sz w:val="21"/>
              </w:rPr>
              <w:t>依实际</w:t>
            </w:r>
          </w:p>
        </w:tc>
        <w:tc>
          <w:tcPr>
            <w:tcW w:type="dxa" w:w="1746"/>
          </w:tcPr>
          <w:p>
            <w:pPr>
              <w:spacing w:lineRule="auto" w:line="240" w:before="20" w:after="20"/>
            </w:pPr>
            <w:r/>
            <w:r>
              <w:rPr>
                <w:rFonts w:ascii="仿宋" w:hAnsi="仿宋" w:eastAsia="仿宋" w:cs="仿宋"/>
                <w:b w:val="0"/>
                <w:sz w:val="21"/>
              </w:rPr>
              <w:t>逐栋建设规模加总约</w:t>
            </w:r>
            <w:r>
              <w:rPr>
                <w:rFonts w:ascii="仿宋" w:hAnsi="仿宋" w:eastAsia="仿宋" w:cs="仿宋"/>
                <w:b/>
                <w:sz w:val="21"/>
              </w:rPr>
              <w:t>331,116.17㎡</w:t>
            </w:r>
            <w:r>
              <w:rPr>
                <w:rFonts w:ascii="仿宋" w:hAnsi="仿宋" w:eastAsia="仿宋" w:cs="仿宋"/>
                <w:b w:val="0"/>
                <w:sz w:val="21"/>
              </w:rPr>
              <w:t>；2014年1月三期技术经济指标为276,420.64㎡。用以说明项目开发规模的口径与变化过程。</w:t>
            </w:r>
          </w:p>
        </w:tc>
      </w:tr>
    </w:tbl>
    <w:p/>
    <w:p>
      <w:pPr>
        <w:spacing w:lineRule="exact" w:line="560" w:before="40" w:after="40"/>
        <w:ind w:firstLine="600"/>
        <w:jc w:val="both"/>
      </w:pPr>
      <w:r>
        <w:rPr>
          <w:rFonts w:ascii="仿宋" w:hAnsi="仿宋" w:eastAsia="仿宋" w:cs="仿宋"/>
          <w:b/>
          <w:sz w:val="30"/>
        </w:rPr>
        <w:t>本组综合证明目的：</w:t>
      </w:r>
    </w:p>
    <w:p>
      <w:pPr>
        <w:spacing w:lineRule="exact" w:line="560" w:before="40" w:after="40"/>
        <w:ind w:firstLine="600"/>
        <w:jc w:val="both"/>
      </w:pPr>
      <w:r>
        <w:rPr>
          <w:rFonts w:ascii="仿宋" w:hAnsi="仿宋" w:eastAsia="仿宋" w:cs="仿宋"/>
          <w:b w:val="0"/>
          <w:sz w:val="30"/>
        </w:rPr>
        <w:t>原判所认定的项目总建筑面积在补正前为30,060.52㎡、补正后为329,304.21㎡，前后相差299,243.69㎡。而A区合同载明面积94,153.03㎡与B/C区合同载明面积234,602.58㎡之和为</w:t>
      </w:r>
      <w:r>
        <w:rPr>
          <w:rFonts w:ascii="仿宋" w:hAnsi="仿宋" w:eastAsia="仿宋" w:cs="仿宋"/>
          <w:b/>
          <w:sz w:val="30"/>
        </w:rPr>
        <w:t>328,755.61㎡</w:t>
      </w:r>
      <w:r>
        <w:rPr>
          <w:rFonts w:ascii="仿宋" w:hAnsi="仿宋" w:eastAsia="仿宋" w:cs="仿宋"/>
          <w:b w:val="0"/>
          <w:sz w:val="30"/>
        </w:rPr>
        <w:t>，与补正后的数字仅相差548.60㎡（0.17%），</w:t>
      </w:r>
      <w:r>
        <w:rPr>
          <w:rFonts w:ascii="仿宋" w:hAnsi="仿宋" w:eastAsia="仿宋" w:cs="仿宋"/>
          <w:b/>
          <w:sz w:val="30"/>
        </w:rPr>
        <w:t>即两份合同在客观上几乎完整覆盖同一个开发项目</w:t>
      </w:r>
      <w:r>
        <w:rPr>
          <w:rFonts w:ascii="仿宋" w:hAnsi="仿宋" w:eastAsia="仿宋" w:cs="仿宋"/>
          <w:b w:val="0"/>
          <w:sz w:val="30"/>
        </w:rPr>
        <w:t>。原判第14页关于资质问题的论证系在"项目总建筑面积30,060.52㎡"这一前提下作出，补正改变该前提后，原判并未重新作出相应评价。</w:t>
      </w:r>
    </w:p>
    <w:p>
      <w:pPr>
        <w:spacing w:lineRule="exact" w:line="560" w:before="280" w:after="160"/>
        <w:jc w:val="center"/>
      </w:pPr>
      <w:r>
        <w:rPr>
          <w:rFonts w:ascii="仿宋" w:hAnsi="仿宋" w:eastAsia="仿宋" w:cs="仿宋"/>
          <w:b/>
          <w:sz w:val="30"/>
        </w:rPr>
        <w:t>第二部分　申请人民法院调取的证据</w:t>
      </w:r>
    </w:p>
    <w:p>
      <w:pPr>
        <w:spacing w:lineRule="exact" w:line="560" w:before="60" w:after="60"/>
        <w:ind w:left="600"/>
      </w:pPr>
      <w:r>
        <w:rPr>
          <w:rFonts w:ascii="仿宋" w:hAnsi="仿宋" w:eastAsia="仿宋" w:cs="仿宋"/>
          <w:b w:val="0"/>
          <w:sz w:val="30"/>
        </w:rPr>
        <w:t>依《中华人民共和国民事诉讼法》第六十七条第二款、《民诉法解释》第九十四条提出。以下材料均由被上诉人或行政机关控制，上诉人客观上无法自行收集。</w:t>
      </w:r>
    </w:p>
    <w:tbl>
      <w:tblPr>
        <w:tblW w:type="auto" w:w="0"/>
        <w:jc w:val="center"/>
        <w:tblLayout w:type="autofit"/>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183"/>
        <w:gridCol w:w="2183"/>
        <w:gridCol w:w="2183"/>
        <w:gridCol w:w="2183"/>
      </w:tblGrid>
      <w:tr>
        <w:tc>
          <w:tcPr>
            <w:tcW w:type="dxa" w:w="2183"/>
          </w:tcPr>
          <w:p>
            <w:pPr>
              <w:spacing w:lineRule="auto" w:line="240" w:before="20" w:after="20"/>
            </w:pPr>
            <w:r/>
            <w:r>
              <w:rPr>
                <w:rFonts w:ascii="仿宋" w:hAnsi="仿宋" w:eastAsia="仿宋" w:cs="仿宋"/>
                <w:b/>
                <w:sz w:val="21"/>
              </w:rPr>
              <w:t>序号</w:t>
            </w:r>
          </w:p>
        </w:tc>
        <w:tc>
          <w:tcPr>
            <w:tcW w:type="dxa" w:w="2183"/>
          </w:tcPr>
          <w:p>
            <w:pPr>
              <w:spacing w:lineRule="auto" w:line="240" w:before="20" w:after="20"/>
            </w:pPr>
            <w:r/>
            <w:r>
              <w:rPr>
                <w:rFonts w:ascii="仿宋" w:hAnsi="仿宋" w:eastAsia="仿宋" w:cs="仿宋"/>
                <w:b/>
                <w:sz w:val="21"/>
              </w:rPr>
              <w:t>拟调取材料</w:t>
            </w:r>
          </w:p>
        </w:tc>
        <w:tc>
          <w:tcPr>
            <w:tcW w:type="dxa" w:w="2183"/>
          </w:tcPr>
          <w:p>
            <w:pPr>
              <w:spacing w:lineRule="auto" w:line="240" w:before="20" w:after="20"/>
            </w:pPr>
            <w:r/>
            <w:r>
              <w:rPr>
                <w:rFonts w:ascii="仿宋" w:hAnsi="仿宋" w:eastAsia="仿宋" w:cs="仿宋"/>
                <w:b/>
                <w:sz w:val="21"/>
              </w:rPr>
              <w:t>建议调取对象</w:t>
            </w:r>
          </w:p>
        </w:tc>
        <w:tc>
          <w:tcPr>
            <w:tcW w:type="dxa" w:w="2183"/>
          </w:tcPr>
          <w:p>
            <w:pPr>
              <w:spacing w:lineRule="auto" w:line="240" w:before="20" w:after="20"/>
            </w:pPr>
            <w:r/>
            <w:r>
              <w:rPr>
                <w:rFonts w:ascii="仿宋" w:hAnsi="仿宋" w:eastAsia="仿宋" w:cs="仿宋"/>
                <w:b/>
                <w:sz w:val="21"/>
              </w:rPr>
              <w:t>待证事实</w:t>
            </w:r>
          </w:p>
        </w:tc>
      </w:tr>
      <w:tr>
        <w:tc>
          <w:tcPr>
            <w:tcW w:type="dxa" w:w="2183"/>
          </w:tcPr>
          <w:p>
            <w:pPr>
              <w:spacing w:lineRule="auto" w:line="240" w:before="20" w:after="20"/>
            </w:pPr>
            <w:r/>
            <w:r>
              <w:rPr>
                <w:rFonts w:ascii="仿宋" w:hAnsi="仿宋" w:eastAsia="仿宋" w:cs="仿宋"/>
                <w:b w:val="0"/>
                <w:sz w:val="21"/>
              </w:rPr>
              <w:t>一</w:t>
            </w:r>
          </w:p>
        </w:tc>
        <w:tc>
          <w:tcPr>
            <w:tcW w:type="dxa" w:w="2183"/>
          </w:tcPr>
          <w:p>
            <w:pPr>
              <w:spacing w:lineRule="auto" w:line="240" w:before="20" w:after="20"/>
            </w:pPr>
            <w:r/>
            <w:r>
              <w:rPr>
                <w:rFonts w:ascii="仿宋" w:hAnsi="仿宋" w:eastAsia="仿宋" w:cs="仿宋"/>
                <w:b w:val="0"/>
                <w:sz w:val="21"/>
              </w:rPr>
              <w:t>A区、B/C区</w:t>
            </w:r>
            <w:r>
              <w:rPr>
                <w:rFonts w:ascii="仿宋" w:hAnsi="仿宋" w:eastAsia="仿宋" w:cs="仿宋"/>
                <w:b/>
                <w:sz w:val="21"/>
              </w:rPr>
              <w:t>物业管理区域划分备案文件</w:t>
            </w:r>
            <w:r>
              <w:rPr>
                <w:rFonts w:ascii="仿宋" w:hAnsi="仿宋" w:eastAsia="仿宋" w:cs="仿宋"/>
                <w:b w:val="0"/>
                <w:sz w:val="21"/>
              </w:rPr>
              <w:t>；如未办理，请出具书面说明</w:t>
            </w:r>
          </w:p>
        </w:tc>
        <w:tc>
          <w:tcPr>
            <w:tcW w:type="dxa" w:w="2183"/>
          </w:tcPr>
          <w:p>
            <w:pPr>
              <w:spacing w:lineRule="auto" w:line="240" w:before="20" w:after="20"/>
            </w:pPr>
            <w:r/>
            <w:r>
              <w:rPr>
                <w:rFonts w:ascii="仿宋" w:hAnsi="仿宋" w:eastAsia="仿宋" w:cs="仿宋"/>
                <w:b w:val="0"/>
                <w:sz w:val="21"/>
              </w:rPr>
              <w:t>长沙市住房和城乡建设局、开福区住房和城乡建设局</w:t>
            </w:r>
          </w:p>
        </w:tc>
        <w:tc>
          <w:tcPr>
            <w:tcW w:type="dxa" w:w="2183"/>
          </w:tcPr>
          <w:p>
            <w:pPr>
              <w:spacing w:lineRule="auto" w:line="240" w:before="20" w:after="20"/>
            </w:pPr>
            <w:r/>
            <w:r>
              <w:rPr>
                <w:rFonts w:ascii="仿宋" w:hAnsi="仿宋" w:eastAsia="仿宋" w:cs="仿宋"/>
                <w:b w:val="0"/>
                <w:sz w:val="21"/>
              </w:rPr>
              <w:t>A区与B/C区是否构成两个依法划分并备案的独立物业管理区域。</w:t>
            </w:r>
            <w:r>
              <w:rPr>
                <w:rFonts w:ascii="仿宋" w:hAnsi="仿宋" w:eastAsia="仿宋" w:cs="仿宋"/>
                <w:b/>
                <w:sz w:val="21"/>
              </w:rPr>
              <w:t>该事实同时决定：上诉人对A区合同有无诉的利益、同一开发项目分两次招标有无区域依据。</w:t>
            </w:r>
          </w:p>
        </w:tc>
      </w:tr>
      <w:tr>
        <w:tc>
          <w:tcPr>
            <w:tcW w:type="dxa" w:w="2183"/>
          </w:tcPr>
          <w:p>
            <w:pPr>
              <w:spacing w:lineRule="auto" w:line="240" w:before="20" w:after="20"/>
            </w:pPr>
            <w:r/>
            <w:r>
              <w:rPr>
                <w:rFonts w:ascii="仿宋" w:hAnsi="仿宋" w:eastAsia="仿宋" w:cs="仿宋"/>
                <w:b w:val="0"/>
                <w:sz w:val="21"/>
              </w:rPr>
              <w:t>二</w:t>
            </w:r>
          </w:p>
        </w:tc>
        <w:tc>
          <w:tcPr>
            <w:tcW w:type="dxa" w:w="2183"/>
          </w:tcPr>
          <w:p>
            <w:pPr>
              <w:spacing w:lineRule="auto" w:line="240" w:before="20" w:after="20"/>
            </w:pPr>
            <w:r/>
            <w:r>
              <w:rPr>
                <w:rFonts w:ascii="仿宋" w:hAnsi="仿宋" w:eastAsia="仿宋" w:cs="仿宋"/>
                <w:b w:val="0"/>
                <w:sz w:val="21"/>
              </w:rPr>
              <w:t>A区（2014年）、B/C区（2016年）</w:t>
            </w:r>
            <w:r>
              <w:rPr>
                <w:rFonts w:ascii="仿宋" w:hAnsi="仿宋" w:eastAsia="仿宋" w:cs="仿宋"/>
                <w:b/>
                <w:sz w:val="21"/>
              </w:rPr>
              <w:t>招投标全卷</w:t>
            </w:r>
            <w:r>
              <w:rPr>
                <w:rFonts w:ascii="仿宋" w:hAnsi="仿宋" w:eastAsia="仿宋" w:cs="仿宋"/>
                <w:b w:val="0"/>
                <w:sz w:val="21"/>
              </w:rPr>
              <w:t>：招标或邀请文件、投标人名单、投标文件、资格审查记录、评标委员会组成、评分表、评标报告、中标通知书</w:t>
            </w:r>
          </w:p>
        </w:tc>
        <w:tc>
          <w:tcPr>
            <w:tcW w:type="dxa" w:w="2183"/>
          </w:tcPr>
          <w:p>
            <w:pPr>
              <w:spacing w:lineRule="auto" w:line="240" w:before="20" w:after="20"/>
            </w:pPr>
            <w:r/>
            <w:r>
              <w:rPr>
                <w:rFonts w:ascii="仿宋" w:hAnsi="仿宋" w:eastAsia="仿宋" w:cs="仿宋"/>
                <w:b w:val="0"/>
                <w:sz w:val="21"/>
              </w:rPr>
              <w:t>长沙市住房和城乡建设局；被上诉人</w:t>
            </w:r>
          </w:p>
        </w:tc>
        <w:tc>
          <w:tcPr>
            <w:tcW w:type="dxa" w:w="2183"/>
          </w:tcPr>
          <w:p>
            <w:pPr>
              <w:spacing w:lineRule="auto" w:line="240" w:before="20" w:after="20"/>
            </w:pPr>
            <w:r/>
            <w:r>
              <w:rPr>
                <w:rFonts w:ascii="仿宋" w:hAnsi="仿宋" w:eastAsia="仿宋" w:cs="仿宋"/>
                <w:b w:val="0"/>
                <w:sz w:val="21"/>
              </w:rPr>
              <w:t>两次招投标是否存在真实竞争；B/C区"综合评分91.4"的评分构成。</w:t>
            </w:r>
            <w:r>
              <w:rPr>
                <w:rFonts w:ascii="仿宋" w:hAnsi="仿宋" w:eastAsia="仿宋" w:cs="仿宋"/>
                <w:b/>
                <w:sz w:val="21"/>
              </w:rPr>
              <w:t>A区备案表勾选栏已载明其中三份文件随附报送备案。</w:t>
            </w:r>
          </w:p>
        </w:tc>
      </w:tr>
      <w:tr>
        <w:tc>
          <w:tcPr>
            <w:tcW w:type="dxa" w:w="2183"/>
          </w:tcPr>
          <w:p>
            <w:pPr>
              <w:spacing w:lineRule="auto" w:line="240" w:before="20" w:after="20"/>
            </w:pPr>
            <w:r/>
            <w:r>
              <w:rPr>
                <w:rFonts w:ascii="仿宋" w:hAnsi="仿宋" w:eastAsia="仿宋" w:cs="仿宋"/>
                <w:b w:val="0"/>
                <w:sz w:val="21"/>
              </w:rPr>
              <w:t>三</w:t>
            </w:r>
          </w:p>
        </w:tc>
        <w:tc>
          <w:tcPr>
            <w:tcW w:type="dxa" w:w="2183"/>
          </w:tcPr>
          <w:p>
            <w:pPr>
              <w:spacing w:lineRule="auto" w:line="240" w:before="20" w:after="20"/>
            </w:pPr>
            <w:r/>
            <w:r>
              <w:rPr>
                <w:rFonts w:ascii="仿宋" w:hAnsi="仿宋" w:eastAsia="仿宋" w:cs="仿宋"/>
                <w:b w:val="0"/>
                <w:sz w:val="21"/>
              </w:rPr>
              <w:t>B/C区前期物业服务合同</w:t>
            </w:r>
            <w:r>
              <w:rPr>
                <w:rFonts w:ascii="仿宋" w:hAnsi="仿宋" w:eastAsia="仿宋" w:cs="仿宋"/>
                <w:b/>
                <w:sz w:val="21"/>
              </w:rPr>
              <w:t>2016年5月31日版本的完整原本</w:t>
            </w:r>
            <w:r>
              <w:rPr>
                <w:rFonts w:ascii="仿宋" w:hAnsi="仿宋" w:eastAsia="仿宋" w:cs="仿宋"/>
                <w:b w:val="0"/>
                <w:sz w:val="21"/>
              </w:rPr>
              <w:t>，及备案档案中所存合同文本</w:t>
            </w:r>
          </w:p>
        </w:tc>
        <w:tc>
          <w:tcPr>
            <w:tcW w:type="dxa" w:w="2183"/>
          </w:tcPr>
          <w:p>
            <w:pPr>
              <w:spacing w:lineRule="auto" w:line="240" w:before="20" w:after="20"/>
            </w:pPr>
            <w:r/>
            <w:r>
              <w:rPr>
                <w:rFonts w:ascii="仿宋" w:hAnsi="仿宋" w:eastAsia="仿宋" w:cs="仿宋"/>
                <w:b w:val="0"/>
                <w:sz w:val="21"/>
              </w:rPr>
              <w:t>开福区住房和城乡建设局；被上诉人</w:t>
            </w:r>
          </w:p>
        </w:tc>
        <w:tc>
          <w:tcPr>
            <w:tcW w:type="dxa" w:w="2183"/>
          </w:tcPr>
          <w:p>
            <w:pPr>
              <w:spacing w:lineRule="auto" w:line="240" w:before="20" w:after="20"/>
            </w:pPr>
            <w:r/>
            <w:r>
              <w:rPr>
                <w:rFonts w:ascii="仿宋" w:hAnsi="仿宋" w:eastAsia="仿宋" w:cs="仿宋"/>
                <w:b w:val="0"/>
                <w:sz w:val="21"/>
              </w:rPr>
              <w:t>确定效力审查的对象文本；两个日期版本的关系。</w:t>
            </w:r>
          </w:p>
        </w:tc>
      </w:tr>
      <w:tr>
        <w:tc>
          <w:tcPr>
            <w:tcW w:type="dxa" w:w="2183"/>
          </w:tcPr>
          <w:p>
            <w:pPr>
              <w:spacing w:lineRule="auto" w:line="240" w:before="20" w:after="20"/>
            </w:pPr>
            <w:r/>
            <w:r>
              <w:rPr>
                <w:rFonts w:ascii="仿宋" w:hAnsi="仿宋" w:eastAsia="仿宋" w:cs="仿宋"/>
                <w:b w:val="0"/>
                <w:sz w:val="21"/>
              </w:rPr>
              <w:t>四</w:t>
            </w:r>
          </w:p>
        </w:tc>
        <w:tc>
          <w:tcPr>
            <w:tcW w:type="dxa" w:w="2183"/>
          </w:tcPr>
          <w:p>
            <w:pPr>
              <w:spacing w:lineRule="auto" w:line="240" w:before="20" w:after="20"/>
            </w:pPr>
            <w:r/>
            <w:r>
              <w:rPr>
                <w:rFonts w:ascii="仿宋" w:hAnsi="仿宋" w:eastAsia="仿宋" w:cs="仿宋"/>
                <w:b w:val="0"/>
                <w:sz w:val="21"/>
              </w:rPr>
              <w:t>开福区住建局在（2026）湘8601行初374号案中承诺庭后提交的</w:t>
            </w:r>
            <w:r>
              <w:rPr>
                <w:rFonts w:ascii="仿宋" w:hAnsi="仿宋" w:eastAsia="仿宋" w:cs="仿宋"/>
                <w:b/>
                <w:sz w:val="21"/>
              </w:rPr>
              <w:t>关于合同签订日期的书面情况说明</w:t>
            </w:r>
          </w:p>
        </w:tc>
        <w:tc>
          <w:tcPr>
            <w:tcW w:type="dxa" w:w="2183"/>
          </w:tcPr>
          <w:p>
            <w:pPr>
              <w:spacing w:lineRule="auto" w:line="240" w:before="20" w:after="20"/>
            </w:pPr>
            <w:r/>
            <w:r>
              <w:rPr>
                <w:rFonts w:ascii="仿宋" w:hAnsi="仿宋" w:eastAsia="仿宋" w:cs="仿宋"/>
                <w:b w:val="0"/>
                <w:sz w:val="21"/>
              </w:rPr>
              <w:t>长沙铁路运输法院</w:t>
            </w:r>
          </w:p>
        </w:tc>
        <w:tc>
          <w:tcPr>
            <w:tcW w:type="dxa" w:w="2183"/>
          </w:tcPr>
          <w:p>
            <w:pPr>
              <w:spacing w:lineRule="auto" w:line="240" w:before="20" w:after="20"/>
            </w:pPr>
            <w:r/>
            <w:r>
              <w:rPr>
                <w:rFonts w:ascii="仿宋" w:hAnsi="仿宋" w:eastAsia="仿宋" w:cs="仿宋"/>
                <w:b w:val="0"/>
                <w:sz w:val="21"/>
              </w:rPr>
              <w:t>行政机关对合同签订日期的最终核实结论。</w:t>
            </w:r>
          </w:p>
        </w:tc>
      </w:tr>
      <w:tr>
        <w:tc>
          <w:tcPr>
            <w:tcW w:type="dxa" w:w="2183"/>
          </w:tcPr>
          <w:p>
            <w:pPr>
              <w:spacing w:lineRule="auto" w:line="240" w:before="20" w:after="20"/>
            </w:pPr>
            <w:r/>
            <w:r>
              <w:rPr>
                <w:rFonts w:ascii="仿宋" w:hAnsi="仿宋" w:eastAsia="仿宋" w:cs="仿宋"/>
                <w:b w:val="0"/>
                <w:sz w:val="21"/>
              </w:rPr>
              <w:t>五</w:t>
            </w:r>
          </w:p>
        </w:tc>
        <w:tc>
          <w:tcPr>
            <w:tcW w:type="dxa" w:w="2183"/>
          </w:tcPr>
          <w:p>
            <w:pPr>
              <w:spacing w:lineRule="auto" w:line="240" w:before="20" w:after="20"/>
            </w:pPr>
            <w:r/>
            <w:r>
              <w:rPr>
                <w:rFonts w:ascii="仿宋" w:hAnsi="仿宋" w:eastAsia="仿宋" w:cs="仿宋"/>
                <w:b w:val="0"/>
                <w:sz w:val="21"/>
              </w:rPr>
              <w:t>中铁房地产集团长沙置业有限公司</w:t>
            </w:r>
            <w:r>
              <w:rPr>
                <w:rFonts w:ascii="仿宋" w:hAnsi="仿宋" w:eastAsia="仿宋" w:cs="仿宋"/>
                <w:b/>
                <w:sz w:val="21"/>
              </w:rPr>
              <w:t>法定代表人变更登记全部记录</w:t>
            </w:r>
            <w:r>
              <w:rPr>
                <w:rFonts w:ascii="仿宋" w:hAnsi="仿宋" w:eastAsia="仿宋" w:cs="仿宋"/>
                <w:b w:val="0"/>
                <w:sz w:val="21"/>
              </w:rPr>
              <w:t>（2012年至今）</w:t>
            </w:r>
          </w:p>
        </w:tc>
        <w:tc>
          <w:tcPr>
            <w:tcW w:type="dxa" w:w="2183"/>
          </w:tcPr>
          <w:p>
            <w:pPr>
              <w:spacing w:lineRule="auto" w:line="240" w:before="20" w:after="20"/>
            </w:pPr>
            <w:r/>
            <w:r>
              <w:rPr>
                <w:rFonts w:ascii="仿宋" w:hAnsi="仿宋" w:eastAsia="仿宋" w:cs="仿宋"/>
                <w:b w:val="0"/>
                <w:sz w:val="21"/>
              </w:rPr>
              <w:t>市场监督管理部门</w:t>
            </w:r>
          </w:p>
        </w:tc>
        <w:tc>
          <w:tcPr>
            <w:tcW w:type="dxa" w:w="2183"/>
          </w:tcPr>
          <w:p>
            <w:pPr>
              <w:spacing w:lineRule="auto" w:line="240" w:before="20" w:after="20"/>
            </w:pPr>
            <w:r/>
            <w:r>
              <w:rPr>
                <w:rFonts w:ascii="仿宋" w:hAnsi="仿宋" w:eastAsia="仿宋" w:cs="仿宋"/>
                <w:b w:val="0"/>
                <w:sz w:val="21"/>
              </w:rPr>
              <w:t>一审判决仅认定至2015年3月27日变更为孙驿杰，而2016年B/C区备案表及合同封面所载法定代表人为</w:t>
            </w:r>
            <w:r>
              <w:rPr>
                <w:rFonts w:ascii="仿宋" w:hAnsi="仿宋" w:eastAsia="仿宋" w:cs="仿宋"/>
                <w:b/>
                <w:sz w:val="21"/>
              </w:rPr>
              <w:t>王刚</w:t>
            </w:r>
            <w:r>
              <w:rPr>
                <w:rFonts w:ascii="仿宋" w:hAnsi="仿宋" w:eastAsia="仿宋" w:cs="仿宋"/>
                <w:b w:val="0"/>
                <w:sz w:val="21"/>
              </w:rPr>
              <w:t>，该变更过程未经查明。</w:t>
            </w:r>
          </w:p>
        </w:tc>
      </w:tr>
      <w:tr>
        <w:tc>
          <w:tcPr>
            <w:tcW w:type="dxa" w:w="2183"/>
          </w:tcPr>
          <w:p>
            <w:pPr>
              <w:spacing w:lineRule="auto" w:line="240" w:before="20" w:after="20"/>
            </w:pPr>
            <w:r/>
            <w:r>
              <w:rPr>
                <w:rFonts w:ascii="仿宋" w:hAnsi="仿宋" w:eastAsia="仿宋" w:cs="仿宋"/>
                <w:b w:val="0"/>
                <w:sz w:val="21"/>
              </w:rPr>
              <w:t>六</w:t>
            </w:r>
          </w:p>
        </w:tc>
        <w:tc>
          <w:tcPr>
            <w:tcW w:type="dxa" w:w="2183"/>
          </w:tcPr>
          <w:p>
            <w:pPr>
              <w:spacing w:lineRule="auto" w:line="240" w:before="20" w:after="20"/>
            </w:pPr>
            <w:r/>
            <w:r>
              <w:rPr>
                <w:rFonts w:ascii="仿宋" w:hAnsi="仿宋" w:eastAsia="仿宋" w:cs="仿宋"/>
                <w:b w:val="0"/>
                <w:sz w:val="21"/>
              </w:rPr>
              <w:t>中铁建（北京）物业管理有限公司</w:t>
            </w:r>
            <w:r>
              <w:rPr>
                <w:rFonts w:ascii="仿宋" w:hAnsi="仿宋" w:eastAsia="仿宋" w:cs="仿宋"/>
                <w:b/>
                <w:sz w:val="21"/>
              </w:rPr>
              <w:t>长沙分公司设立登记档案</w:t>
            </w:r>
            <w:r>
              <w:rPr>
                <w:rFonts w:ascii="仿宋" w:hAnsi="仿宋" w:eastAsia="仿宋" w:cs="仿宋"/>
                <w:b w:val="0"/>
                <w:sz w:val="21"/>
              </w:rPr>
              <w:t>及总公司对其签订案涉合同的</w:t>
            </w:r>
            <w:r>
              <w:rPr>
                <w:rFonts w:ascii="仿宋" w:hAnsi="仿宋" w:eastAsia="仿宋" w:cs="仿宋"/>
                <w:b/>
                <w:sz w:val="21"/>
              </w:rPr>
              <w:t>授权文件</w:t>
            </w:r>
          </w:p>
        </w:tc>
        <w:tc>
          <w:tcPr>
            <w:tcW w:type="dxa" w:w="2183"/>
          </w:tcPr>
          <w:p>
            <w:pPr>
              <w:spacing w:lineRule="auto" w:line="240" w:before="20" w:after="20"/>
            </w:pPr>
            <w:r/>
            <w:r>
              <w:rPr>
                <w:rFonts w:ascii="仿宋" w:hAnsi="仿宋" w:eastAsia="仿宋" w:cs="仿宋"/>
                <w:b w:val="0"/>
                <w:sz w:val="21"/>
              </w:rPr>
              <w:t>市场监督管理部门；被上诉人</w:t>
            </w:r>
          </w:p>
        </w:tc>
        <w:tc>
          <w:tcPr>
            <w:tcW w:type="dxa" w:w="2183"/>
          </w:tcPr>
          <w:p>
            <w:pPr>
              <w:spacing w:lineRule="auto" w:line="240" w:before="20" w:after="20"/>
            </w:pPr>
            <w:r/>
            <w:r>
              <w:rPr>
                <w:rFonts w:ascii="仿宋" w:hAnsi="仿宋" w:eastAsia="仿宋" w:cs="仿宋"/>
                <w:b w:val="0"/>
                <w:sz w:val="21"/>
              </w:rPr>
              <w:t>分公司承接中标项目、签订合同的依据；是否存在建设单位同意主体变更的材料。</w:t>
            </w:r>
          </w:p>
        </w:tc>
      </w:tr>
      <w:tr>
        <w:tc>
          <w:tcPr>
            <w:tcW w:type="dxa" w:w="2183"/>
          </w:tcPr>
          <w:p>
            <w:pPr>
              <w:spacing w:lineRule="auto" w:line="240" w:before="20" w:after="20"/>
            </w:pPr>
            <w:r/>
            <w:r>
              <w:rPr>
                <w:rFonts w:ascii="仿宋" w:hAnsi="仿宋" w:eastAsia="仿宋" w:cs="仿宋"/>
                <w:b w:val="0"/>
                <w:sz w:val="21"/>
              </w:rPr>
              <w:t>七</w:t>
            </w:r>
          </w:p>
        </w:tc>
        <w:tc>
          <w:tcPr>
            <w:tcW w:type="dxa" w:w="2183"/>
          </w:tcPr>
          <w:p>
            <w:pPr>
              <w:spacing w:lineRule="auto" w:line="240" w:before="20" w:after="20"/>
            </w:pPr>
            <w:r/>
            <w:r>
              <w:rPr>
                <w:rFonts w:ascii="仿宋" w:hAnsi="仿宋" w:eastAsia="仿宋" w:cs="仿宋"/>
                <w:b w:val="0"/>
                <w:sz w:val="21"/>
              </w:rPr>
              <w:t>（2026）湘8601行初374号案卷中被上诉人一提交的</w:t>
            </w:r>
            <w:r>
              <w:rPr>
                <w:rFonts w:ascii="仿宋" w:hAnsi="仿宋" w:eastAsia="仿宋" w:cs="仿宋"/>
                <w:b/>
                <w:sz w:val="21"/>
              </w:rPr>
              <w:t>书面《答辩意见》原件</w:t>
            </w:r>
          </w:p>
        </w:tc>
        <w:tc>
          <w:tcPr>
            <w:tcW w:type="dxa" w:w="2183"/>
          </w:tcPr>
          <w:p>
            <w:pPr>
              <w:spacing w:lineRule="auto" w:line="240" w:before="20" w:after="20"/>
            </w:pPr>
            <w:r/>
            <w:r>
              <w:rPr>
                <w:rFonts w:ascii="仿宋" w:hAnsi="仿宋" w:eastAsia="仿宋" w:cs="仿宋"/>
                <w:b w:val="0"/>
                <w:sz w:val="21"/>
              </w:rPr>
              <w:t>长沙铁路运输法院</w:t>
            </w:r>
          </w:p>
        </w:tc>
        <w:tc>
          <w:tcPr>
            <w:tcW w:type="dxa" w:w="2183"/>
          </w:tcPr>
          <w:p>
            <w:pPr>
              <w:spacing w:lineRule="auto" w:line="240" w:before="20" w:after="20"/>
            </w:pPr>
            <w:r/>
            <w:r>
              <w:rPr>
                <w:rFonts w:ascii="仿宋" w:hAnsi="仿宋" w:eastAsia="仿宋" w:cs="仿宋"/>
                <w:b w:val="0"/>
                <w:sz w:val="21"/>
              </w:rPr>
              <w:t>核对证据13的真实性。</w:t>
            </w:r>
          </w:p>
        </w:tc>
      </w:tr>
    </w:tbl>
    <w:p/>
    <w:p>
      <w:pPr>
        <w:spacing w:lineRule="exact" w:line="560" w:before="280" w:after="160"/>
        <w:jc w:val="center"/>
      </w:pPr>
      <w:r>
        <w:rPr>
          <w:rFonts w:ascii="仿宋" w:hAnsi="仿宋" w:eastAsia="仿宋" w:cs="仿宋"/>
          <w:b/>
          <w:sz w:val="30"/>
        </w:rPr>
        <w:t>第三部分　请求法庭调阅一审卷宗核对的材料</w:t>
      </w:r>
    </w:p>
    <w:p>
      <w:pPr>
        <w:spacing w:lineRule="exact" w:line="560" w:before="60" w:after="60"/>
        <w:ind w:left="600"/>
      </w:pPr>
      <w:r>
        <w:rPr>
          <w:rFonts w:ascii="仿宋" w:hAnsi="仿宋" w:eastAsia="仿宋" w:cs="仿宋"/>
          <w:b w:val="0"/>
          <w:sz w:val="30"/>
        </w:rPr>
        <w:t>以下材料一审时已在卷，不属于新证据，但原判对其未予评价或作出了与之相反的认定，请求二审法院调阅核对。</w:t>
      </w:r>
    </w:p>
    <w:p>
      <w:pPr>
        <w:spacing w:lineRule="exact" w:line="560" w:before="60" w:after="60"/>
        <w:ind w:left="600"/>
      </w:pPr>
      <w:r>
        <w:rPr>
          <w:rFonts w:ascii="仿宋" w:hAnsi="仿宋" w:eastAsia="仿宋" w:cs="仿宋"/>
          <w:b/>
          <w:sz w:val="30"/>
        </w:rPr>
        <w:t>★ 第1项为本目录最优先事项，请求在庭审开始阶段先行查明，另附《关于查明庭后指定提交材料是否入卷及组织质证的申请书》。</w:t>
      </w:r>
    </w:p>
    <w:tbl>
      <w:tblPr>
        <w:tblW w:type="auto" w:w="0"/>
        <w:jc w:val="center"/>
        <w:tblLayout w:type="autofit"/>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910"/>
        <w:gridCol w:w="2910"/>
        <w:gridCol w:w="2910"/>
      </w:tblGrid>
      <w:tr>
        <w:tc>
          <w:tcPr>
            <w:tcW w:type="dxa" w:w="2910"/>
          </w:tcPr>
          <w:p>
            <w:pPr>
              <w:spacing w:lineRule="auto" w:line="240" w:before="20" w:after="20"/>
            </w:pPr>
            <w:r/>
            <w:r>
              <w:rPr>
                <w:rFonts w:ascii="仿宋" w:hAnsi="仿宋" w:eastAsia="仿宋" w:cs="仿宋"/>
                <w:b/>
                <w:sz w:val="21"/>
              </w:rPr>
              <w:t>序号</w:t>
            </w:r>
          </w:p>
        </w:tc>
        <w:tc>
          <w:tcPr>
            <w:tcW w:type="dxa" w:w="2910"/>
          </w:tcPr>
          <w:p>
            <w:pPr>
              <w:spacing w:lineRule="auto" w:line="240" w:before="20" w:after="20"/>
            </w:pPr>
            <w:r/>
            <w:r>
              <w:rPr>
                <w:rFonts w:ascii="仿宋" w:hAnsi="仿宋" w:eastAsia="仿宋" w:cs="仿宋"/>
                <w:b/>
                <w:sz w:val="21"/>
              </w:rPr>
              <w:t>材料</w:t>
            </w:r>
          </w:p>
        </w:tc>
        <w:tc>
          <w:tcPr>
            <w:tcW w:type="dxa" w:w="2910"/>
          </w:tcPr>
          <w:p>
            <w:pPr>
              <w:spacing w:lineRule="auto" w:line="240" w:before="20" w:after="20"/>
            </w:pPr>
            <w:r/>
            <w:r>
              <w:rPr>
                <w:rFonts w:ascii="仿宋" w:hAnsi="仿宋" w:eastAsia="仿宋" w:cs="仿宋"/>
                <w:b/>
                <w:sz w:val="21"/>
              </w:rPr>
              <w:t>核对要点</w:t>
            </w:r>
          </w:p>
        </w:tc>
      </w:tr>
      <w:tr>
        <w:tc>
          <w:tcPr>
            <w:tcW w:type="dxa" w:w="2910"/>
          </w:tcPr>
          <w:p>
            <w:pPr>
              <w:spacing w:lineRule="auto" w:line="240" w:before="20" w:after="20"/>
            </w:pPr>
            <w:r/>
            <w:r>
              <w:rPr>
                <w:rFonts w:ascii="仿宋" w:hAnsi="仿宋" w:eastAsia="仿宋" w:cs="仿宋"/>
                <w:b/>
                <w:sz w:val="21"/>
              </w:rPr>
              <w:t>1★</w:t>
            </w:r>
          </w:p>
        </w:tc>
        <w:tc>
          <w:tcPr>
            <w:tcW w:type="dxa" w:w="2910"/>
          </w:tcPr>
          <w:p>
            <w:pPr>
              <w:spacing w:lineRule="auto" w:line="240" w:before="20" w:after="20"/>
            </w:pPr>
            <w:r/>
            <w:r>
              <w:rPr>
                <w:rFonts w:ascii="仿宋" w:hAnsi="仿宋" w:eastAsia="仿宋" w:cs="仿宋"/>
                <w:b/>
                <w:sz w:val="21"/>
              </w:rPr>
              <w:t>一审庭审笔录第3页末段、第4页首段</w:t>
            </w:r>
          </w:p>
        </w:tc>
        <w:tc>
          <w:tcPr>
            <w:tcW w:type="dxa" w:w="2910"/>
          </w:tcPr>
          <w:p>
            <w:pPr>
              <w:spacing w:lineRule="auto" w:line="240" w:before="20" w:after="20"/>
            </w:pPr>
            <w:r/>
            <w:r>
              <w:rPr>
                <w:rFonts w:ascii="仿宋" w:hAnsi="仿宋" w:eastAsia="仿宋" w:cs="仿宋"/>
                <w:b w:val="0"/>
                <w:sz w:val="21"/>
              </w:rPr>
              <w:t>记载法庭</w:t>
            </w:r>
            <w:r>
              <w:rPr>
                <w:rFonts w:ascii="仿宋" w:hAnsi="仿宋" w:eastAsia="仿宋" w:cs="仿宋"/>
                <w:b/>
                <w:sz w:val="21"/>
              </w:rPr>
              <w:t>两次</w:t>
            </w:r>
            <w:r>
              <w:rPr>
                <w:rFonts w:ascii="仿宋" w:hAnsi="仿宋" w:eastAsia="仿宋" w:cs="仿宋"/>
                <w:b w:val="0"/>
                <w:sz w:val="21"/>
              </w:rPr>
              <w:t>指令："</w:t>
            </w:r>
            <w:r>
              <w:rPr>
                <w:rFonts w:ascii="仿宋" w:hAnsi="仿宋" w:eastAsia="仿宋" w:cs="仿宋"/>
                <w:b/>
                <w:sz w:val="21"/>
              </w:rPr>
              <w:t>审：被告应于庭后五个工作日内向本院予以回复。</w:t>
            </w:r>
            <w:r>
              <w:rPr>
                <w:rFonts w:ascii="仿宋" w:hAnsi="仿宋" w:eastAsia="仿宋" w:cs="仿宋"/>
                <w:b w:val="0"/>
                <w:sz w:val="21"/>
              </w:rPr>
              <w:t>"两次指令的事项分别为：①代表被告二在A区合同上签字的赵力在签约时担任何职位；②被告一是否知晓同一份合同中中标方、招标方负责人均为赵力。被告代理人两次均答"不清楚"。</w:t>
            </w:r>
            <w:r>
              <w:rPr>
                <w:rFonts w:ascii="仿宋" w:hAnsi="仿宋" w:eastAsia="仿宋" w:cs="仿宋"/>
                <w:b/>
                <w:sz w:val="21"/>
              </w:rPr>
              <w:t>上诉人至今从未收到任何该等回复，亦从未对其质证。</w:t>
            </w:r>
            <w:r>
              <w:rPr>
                <w:rFonts w:ascii="仿宋" w:hAnsi="仿宋" w:eastAsia="仿宋" w:cs="仿宋"/>
                <w:b w:val="0"/>
                <w:sz w:val="21"/>
              </w:rPr>
              <w:t xml:space="preserve">　</w:t>
            </w:r>
            <w:r>
              <w:rPr>
                <w:rFonts w:ascii="仿宋" w:hAnsi="仿宋" w:eastAsia="仿宋" w:cs="仿宋"/>
                <w:b/>
                <w:sz w:val="21"/>
              </w:rPr>
              <w:t>请求当庭查明：该两份回复是否提交、提交日期、是否送达上诉人、是否组织质证、一审判决第12页"原告未举证证明该关联关系对招投标结果产生实质性影响"这一认定是否使用了该材料。</w:t>
            </w:r>
          </w:p>
        </w:tc>
      </w:tr>
      <w:tr>
        <w:tc>
          <w:tcPr>
            <w:tcW w:type="dxa" w:w="2910"/>
          </w:tcPr>
          <w:p>
            <w:pPr>
              <w:spacing w:lineRule="auto" w:line="240" w:before="20" w:after="20"/>
            </w:pPr>
            <w:r/>
            <w:r>
              <w:rPr>
                <w:rFonts w:ascii="仿宋" w:hAnsi="仿宋" w:eastAsia="仿宋" w:cs="仿宋"/>
                <w:b w:val="0"/>
                <w:sz w:val="21"/>
              </w:rPr>
              <w:t>2</w:t>
            </w:r>
          </w:p>
        </w:tc>
        <w:tc>
          <w:tcPr>
            <w:tcW w:type="dxa" w:w="2910"/>
          </w:tcPr>
          <w:p>
            <w:pPr>
              <w:spacing w:lineRule="auto" w:line="240" w:before="20" w:after="20"/>
            </w:pPr>
            <w:r/>
            <w:r>
              <w:rPr>
                <w:rFonts w:ascii="仿宋" w:hAnsi="仿宋" w:eastAsia="仿宋" w:cs="仿宋"/>
                <w:b w:val="0"/>
                <w:sz w:val="21"/>
              </w:rPr>
              <w:t>一审判决第8页所列</w:t>
            </w:r>
            <w:r>
              <w:rPr>
                <w:rFonts w:ascii="仿宋" w:hAnsi="仿宋" w:eastAsia="仿宋" w:cs="仿宋"/>
                <w:b/>
                <w:sz w:val="21"/>
              </w:rPr>
              <w:t>"不动产登记"</w:t>
            </w:r>
            <w:r>
              <w:rPr>
                <w:rFonts w:ascii="仿宋" w:hAnsi="仿宋" w:eastAsia="仿宋" w:cs="仿宋"/>
                <w:b w:val="0"/>
                <w:sz w:val="21"/>
              </w:rPr>
              <w:t>证据</w:t>
            </w:r>
          </w:p>
        </w:tc>
        <w:tc>
          <w:tcPr>
            <w:tcW w:type="dxa" w:w="2910"/>
          </w:tcPr>
          <w:p>
            <w:pPr>
              <w:spacing w:lineRule="auto" w:line="240" w:before="20" w:after="20"/>
            </w:pPr>
            <w:r/>
            <w:r>
              <w:rPr>
                <w:rFonts w:ascii="仿宋" w:hAnsi="仿宋" w:eastAsia="仿宋" w:cs="仿宋"/>
                <w:b w:val="0"/>
                <w:sz w:val="21"/>
              </w:rPr>
              <w:t>该证据一审已提交并经庭审质证（判决第8页明确列举），</w:t>
            </w:r>
            <w:r>
              <w:rPr>
                <w:rFonts w:ascii="仿宋" w:hAnsi="仿宋" w:eastAsia="仿宋" w:cs="仿宋"/>
                <w:b/>
                <w:sz w:val="21"/>
              </w:rPr>
              <w:t>判决却认定上诉人为"A区业主"</w:t>
            </w:r>
            <w:r>
              <w:rPr>
                <w:rFonts w:ascii="仿宋" w:hAnsi="仿宋" w:eastAsia="仿宋" w:cs="仿宋"/>
                <w:b w:val="0"/>
                <w:sz w:val="21"/>
              </w:rPr>
              <w:t>。请核对该登记所载房屋坐落。</w:t>
            </w:r>
          </w:p>
        </w:tc>
      </w:tr>
      <w:tr>
        <w:tc>
          <w:tcPr>
            <w:tcW w:type="dxa" w:w="2910"/>
          </w:tcPr>
          <w:p>
            <w:pPr>
              <w:spacing w:lineRule="auto" w:line="240" w:before="20" w:after="20"/>
            </w:pPr>
            <w:r/>
            <w:r>
              <w:rPr>
                <w:rFonts w:ascii="仿宋" w:hAnsi="仿宋" w:eastAsia="仿宋" w:cs="仿宋"/>
                <w:b w:val="0"/>
                <w:sz w:val="21"/>
              </w:rPr>
              <w:t>3</w:t>
            </w:r>
          </w:p>
        </w:tc>
        <w:tc>
          <w:tcPr>
            <w:tcW w:type="dxa" w:w="2910"/>
          </w:tcPr>
          <w:p>
            <w:pPr>
              <w:spacing w:lineRule="auto" w:line="240" w:before="20" w:after="20"/>
            </w:pPr>
            <w:r/>
            <w:r>
              <w:rPr>
                <w:rFonts w:ascii="仿宋" w:hAnsi="仿宋" w:eastAsia="仿宋" w:cs="仿宋"/>
                <w:b w:val="0"/>
                <w:sz w:val="21"/>
              </w:rPr>
              <w:t>被上诉人二一审当庭提交的</w:t>
            </w:r>
            <w:r>
              <w:rPr>
                <w:rFonts w:ascii="仿宋" w:hAnsi="仿宋" w:eastAsia="仿宋" w:cs="仿宋"/>
                <w:b/>
                <w:sz w:val="21"/>
              </w:rPr>
              <w:t>《长沙市前期物业管理招投标备案表》两份</w:t>
            </w:r>
            <w:r>
              <w:rPr>
                <w:rFonts w:ascii="仿宋" w:hAnsi="仿宋" w:eastAsia="仿宋" w:cs="仿宋"/>
                <w:b w:val="0"/>
                <w:sz w:val="21"/>
              </w:rPr>
              <w:t>（一审庭审笔录第2页）</w:t>
            </w:r>
          </w:p>
        </w:tc>
        <w:tc>
          <w:tcPr>
            <w:tcW w:type="dxa" w:w="2910"/>
          </w:tcPr>
          <w:p>
            <w:pPr>
              <w:spacing w:lineRule="auto" w:line="240" w:before="20" w:after="20"/>
            </w:pPr>
            <w:r/>
            <w:r>
              <w:rPr>
                <w:rFonts w:ascii="仿宋" w:hAnsi="仿宋" w:eastAsia="仿宋" w:cs="仿宋"/>
                <w:b w:val="0"/>
                <w:sz w:val="21"/>
              </w:rPr>
              <w:t>上诉人当庭明确"</w:t>
            </w:r>
            <w:r>
              <w:rPr>
                <w:rFonts w:ascii="仿宋" w:hAnsi="仿宋" w:eastAsia="仿宋" w:cs="仿宋"/>
                <w:b/>
                <w:sz w:val="21"/>
              </w:rPr>
              <w:t>对B、C区三性有异议</w:t>
            </w:r>
            <w:r>
              <w:rPr>
                <w:rFonts w:ascii="仿宋" w:hAnsi="仿宋" w:eastAsia="仿宋" w:cs="仿宋"/>
                <w:b w:val="0"/>
                <w:sz w:val="21"/>
              </w:rPr>
              <w:t>"（笔录第3页）。原判</w:t>
            </w:r>
            <w:r>
              <w:rPr>
                <w:rFonts w:ascii="仿宋" w:hAnsi="仿宋" w:eastAsia="仿宋" w:cs="仿宋"/>
                <w:b/>
                <w:sz w:val="21"/>
              </w:rPr>
              <w:t>通篇未提及该B/C区备案表</w:t>
            </w:r>
            <w:r>
              <w:rPr>
                <w:rFonts w:ascii="仿宋" w:hAnsi="仿宋" w:eastAsia="仿宋" w:cs="仿宋"/>
                <w:b w:val="0"/>
                <w:sz w:val="21"/>
              </w:rPr>
              <w:t>，既未认定采信，亦未说明不予采信的理由。</w:t>
            </w:r>
          </w:p>
        </w:tc>
      </w:tr>
      <w:tr>
        <w:tc>
          <w:tcPr>
            <w:tcW w:type="dxa" w:w="2910"/>
          </w:tcPr>
          <w:p>
            <w:pPr>
              <w:spacing w:lineRule="auto" w:line="240" w:before="20" w:after="20"/>
            </w:pPr>
            <w:r/>
            <w:r>
              <w:rPr>
                <w:rFonts w:ascii="仿宋" w:hAnsi="仿宋" w:eastAsia="仿宋" w:cs="仿宋"/>
                <w:b w:val="0"/>
                <w:sz w:val="21"/>
              </w:rPr>
              <w:t>4</w:t>
            </w:r>
          </w:p>
        </w:tc>
        <w:tc>
          <w:tcPr>
            <w:tcW w:type="dxa" w:w="2910"/>
          </w:tcPr>
          <w:p>
            <w:pPr>
              <w:spacing w:lineRule="auto" w:line="240" w:before="20" w:after="20"/>
            </w:pPr>
            <w:r/>
            <w:r>
              <w:rPr>
                <w:rFonts w:ascii="仿宋" w:hAnsi="仿宋" w:eastAsia="仿宋" w:cs="仿宋"/>
                <w:b w:val="0"/>
                <w:sz w:val="21"/>
              </w:rPr>
              <w:t>一审庭审笔录</w:t>
            </w:r>
            <w:r>
              <w:rPr>
                <w:rFonts w:ascii="仿宋" w:hAnsi="仿宋" w:eastAsia="仿宋" w:cs="仿宋"/>
                <w:b/>
                <w:sz w:val="21"/>
              </w:rPr>
              <w:t>第4页</w:t>
            </w:r>
            <w:r>
              <w:rPr>
                <w:rFonts w:ascii="仿宋" w:hAnsi="仿宋" w:eastAsia="仿宋" w:cs="仿宋"/>
                <w:b w:val="0"/>
                <w:sz w:val="21"/>
              </w:rPr>
              <w:t>（被上诉人一辩论意见）</w:t>
            </w:r>
          </w:p>
        </w:tc>
        <w:tc>
          <w:tcPr>
            <w:tcW w:type="dxa" w:w="2910"/>
          </w:tcPr>
          <w:p>
            <w:pPr>
              <w:spacing w:lineRule="auto" w:line="240" w:before="20" w:after="20"/>
            </w:pPr>
            <w:r/>
            <w:r>
              <w:rPr>
                <w:rFonts w:ascii="仿宋" w:hAnsi="仿宋" w:eastAsia="仿宋" w:cs="仿宋"/>
                <w:b w:val="0"/>
                <w:sz w:val="21"/>
              </w:rPr>
              <w:t>记载被上诉人一陈述："</w:t>
            </w:r>
            <w:r>
              <w:rPr>
                <w:rFonts w:ascii="仿宋" w:hAnsi="仿宋" w:eastAsia="仿宋" w:cs="仿宋"/>
                <w:b/>
                <w:sz w:val="21"/>
              </w:rPr>
              <w:t>原告所有房产虽在B、C区前期物业服务协议服务范围内</w:t>
            </w:r>
            <w:r>
              <w:rPr>
                <w:rFonts w:ascii="仿宋" w:hAnsi="仿宋" w:eastAsia="仿宋" w:cs="仿宋"/>
                <w:b w:val="0"/>
                <w:sz w:val="21"/>
              </w:rPr>
              <w:t>……"。</w:t>
            </w:r>
          </w:p>
        </w:tc>
      </w:tr>
      <w:tr>
        <w:tc>
          <w:tcPr>
            <w:tcW w:type="dxa" w:w="2910"/>
          </w:tcPr>
          <w:p>
            <w:pPr>
              <w:spacing w:lineRule="auto" w:line="240" w:before="20" w:after="20"/>
            </w:pPr>
            <w:r/>
            <w:r>
              <w:rPr>
                <w:rFonts w:ascii="仿宋" w:hAnsi="仿宋" w:eastAsia="仿宋" w:cs="仿宋"/>
                <w:b w:val="0"/>
                <w:sz w:val="21"/>
              </w:rPr>
              <w:t>5</w:t>
            </w:r>
          </w:p>
        </w:tc>
        <w:tc>
          <w:tcPr>
            <w:tcW w:type="dxa" w:w="2910"/>
          </w:tcPr>
          <w:p>
            <w:pPr>
              <w:spacing w:lineRule="auto" w:line="240" w:before="20" w:after="20"/>
            </w:pPr>
            <w:r/>
            <w:r>
              <w:rPr>
                <w:rFonts w:ascii="仿宋" w:hAnsi="仿宋" w:eastAsia="仿宋" w:cs="仿宋"/>
                <w:b w:val="0"/>
                <w:sz w:val="21"/>
              </w:rPr>
              <w:t>一审庭审笔录</w:t>
            </w:r>
            <w:r>
              <w:rPr>
                <w:rFonts w:ascii="仿宋" w:hAnsi="仿宋" w:eastAsia="仿宋" w:cs="仿宋"/>
                <w:b/>
                <w:sz w:val="21"/>
              </w:rPr>
              <w:t>第4页</w:t>
            </w:r>
            <w:r>
              <w:rPr>
                <w:rFonts w:ascii="仿宋" w:hAnsi="仿宋" w:eastAsia="仿宋" w:cs="仿宋"/>
                <w:b w:val="0"/>
                <w:sz w:val="21"/>
              </w:rPr>
              <w:t>（上诉人辩论意见）</w:t>
            </w:r>
          </w:p>
        </w:tc>
        <w:tc>
          <w:tcPr>
            <w:tcW w:type="dxa" w:w="2910"/>
          </w:tcPr>
          <w:p>
            <w:pPr>
              <w:spacing w:lineRule="auto" w:line="240" w:before="20" w:after="20"/>
            </w:pPr>
            <w:r/>
            <w:r>
              <w:rPr>
                <w:rFonts w:ascii="仿宋" w:hAnsi="仿宋" w:eastAsia="仿宋" w:cs="仿宋"/>
                <w:b w:val="0"/>
                <w:sz w:val="21"/>
              </w:rPr>
              <w:t>记载上诉人已援引《招标投标法实施条例》第三十四条</w:t>
            </w:r>
            <w:r>
              <w:rPr>
                <w:rFonts w:ascii="仿宋" w:hAnsi="仿宋" w:eastAsia="仿宋" w:cs="仿宋"/>
                <w:b/>
                <w:sz w:val="21"/>
              </w:rPr>
              <w:t>第一款</w:t>
            </w:r>
            <w:r>
              <w:rPr>
                <w:rFonts w:ascii="仿宋" w:hAnsi="仿宋" w:eastAsia="仿宋" w:cs="仿宋"/>
                <w:b w:val="0"/>
                <w:sz w:val="21"/>
              </w:rPr>
              <w:t>"与招标人存在利害关系，可能影响招标公正性的法人不得参加投标"；而原判第12—13页援引的是</w:t>
            </w:r>
            <w:r>
              <w:rPr>
                <w:rFonts w:ascii="仿宋" w:hAnsi="仿宋" w:eastAsia="仿宋" w:cs="仿宋"/>
                <w:b/>
                <w:sz w:val="21"/>
              </w:rPr>
              <w:t>第二款</w:t>
            </w:r>
            <w:r>
              <w:rPr>
                <w:rFonts w:ascii="仿宋" w:hAnsi="仿宋" w:eastAsia="仿宋" w:cs="仿宋"/>
                <w:b w:val="0"/>
                <w:sz w:val="21"/>
              </w:rPr>
              <w:t>"不同单位……参加同一标段投标"的构成要件。</w:t>
            </w:r>
          </w:p>
        </w:tc>
      </w:tr>
      <w:tr>
        <w:tc>
          <w:tcPr>
            <w:tcW w:type="dxa" w:w="2910"/>
          </w:tcPr>
          <w:p>
            <w:pPr>
              <w:spacing w:lineRule="auto" w:line="240" w:before="20" w:after="20"/>
            </w:pPr>
            <w:r/>
            <w:r>
              <w:rPr>
                <w:rFonts w:ascii="仿宋" w:hAnsi="仿宋" w:eastAsia="仿宋" w:cs="仿宋"/>
                <w:b w:val="0"/>
                <w:sz w:val="21"/>
              </w:rPr>
              <w:t>6</w:t>
            </w:r>
          </w:p>
        </w:tc>
        <w:tc>
          <w:tcPr>
            <w:tcW w:type="dxa" w:w="2910"/>
          </w:tcPr>
          <w:p>
            <w:pPr>
              <w:spacing w:lineRule="auto" w:line="240" w:before="20" w:after="20"/>
            </w:pPr>
            <w:r/>
            <w:r>
              <w:rPr>
                <w:rFonts w:ascii="仿宋" w:hAnsi="仿宋" w:eastAsia="仿宋" w:cs="仿宋"/>
                <w:b w:val="0"/>
                <w:sz w:val="21"/>
              </w:rPr>
              <w:t>被上诉人一一审当庭提交的</w:t>
            </w:r>
            <w:r>
              <w:rPr>
                <w:rFonts w:ascii="仿宋" w:hAnsi="仿宋" w:eastAsia="仿宋" w:cs="仿宋"/>
                <w:b/>
                <w:sz w:val="21"/>
              </w:rPr>
              <w:t>六组证据</w:t>
            </w:r>
            <w:r>
              <w:rPr>
                <w:rFonts w:ascii="仿宋" w:hAnsi="仿宋" w:eastAsia="仿宋" w:cs="仿宋"/>
                <w:b w:val="0"/>
                <w:sz w:val="21"/>
              </w:rPr>
              <w:t>（一审庭审笔录第2页）</w:t>
            </w:r>
          </w:p>
        </w:tc>
        <w:tc>
          <w:tcPr>
            <w:tcW w:type="dxa" w:w="2910"/>
          </w:tcPr>
          <w:p>
            <w:pPr>
              <w:spacing w:lineRule="auto" w:line="240" w:before="20" w:after="20"/>
            </w:pPr>
            <w:r/>
            <w:r>
              <w:rPr>
                <w:rFonts w:ascii="仿宋" w:hAnsi="仿宋" w:eastAsia="仿宋" w:cs="仿宋"/>
                <w:b w:val="0"/>
                <w:sz w:val="21"/>
              </w:rPr>
              <w:t>上诉人当庭表示"不予质证，被告当庭提交，</w:t>
            </w:r>
            <w:r>
              <w:rPr>
                <w:rFonts w:ascii="仿宋" w:hAnsi="仿宋" w:eastAsia="仿宋" w:cs="仿宋"/>
                <w:b/>
                <w:sz w:val="21"/>
              </w:rPr>
              <w:t>已超过举证期限</w:t>
            </w:r>
            <w:r>
              <w:rPr>
                <w:rFonts w:ascii="仿宋" w:hAnsi="仿宋" w:eastAsia="仿宋" w:cs="仿宋"/>
                <w:b w:val="0"/>
                <w:sz w:val="21"/>
              </w:rPr>
              <w:t>"。请核对法庭是否依《民事诉讼法》第六十八条第二款对逾期证据作出处理决定，以及该六组证据中哪些被判决实际采用。</w:t>
            </w:r>
          </w:p>
        </w:tc>
      </w:tr>
      <w:tr>
        <w:tc>
          <w:tcPr>
            <w:tcW w:type="dxa" w:w="2910"/>
          </w:tcPr>
          <w:p>
            <w:pPr>
              <w:spacing w:lineRule="auto" w:line="240" w:before="20" w:after="20"/>
            </w:pPr>
            <w:r/>
            <w:r>
              <w:rPr>
                <w:rFonts w:ascii="仿宋" w:hAnsi="仿宋" w:eastAsia="仿宋" w:cs="仿宋"/>
                <w:b w:val="0"/>
                <w:sz w:val="21"/>
              </w:rPr>
              <w:t>7</w:t>
            </w:r>
          </w:p>
        </w:tc>
        <w:tc>
          <w:tcPr>
            <w:tcW w:type="dxa" w:w="2910"/>
          </w:tcPr>
          <w:p>
            <w:pPr>
              <w:spacing w:lineRule="auto" w:line="240" w:before="20" w:after="20"/>
            </w:pPr>
            <w:r/>
            <w:r>
              <w:rPr>
                <w:rFonts w:ascii="仿宋" w:hAnsi="仿宋" w:eastAsia="仿宋" w:cs="仿宋"/>
                <w:b w:val="0"/>
                <w:sz w:val="21"/>
              </w:rPr>
              <w:t>（2026）湘0105民初27046号</w:t>
            </w:r>
            <w:r>
              <w:rPr>
                <w:rFonts w:ascii="仿宋" w:hAnsi="仿宋" w:eastAsia="仿宋" w:cs="仿宋"/>
                <w:b/>
                <w:sz w:val="21"/>
              </w:rPr>
              <w:t>民事裁定书（补正裁定）</w:t>
            </w:r>
          </w:p>
        </w:tc>
        <w:tc>
          <w:tcPr>
            <w:tcW w:type="dxa" w:w="2910"/>
          </w:tcPr>
          <w:p>
            <w:pPr>
              <w:spacing w:lineRule="auto" w:line="240" w:before="20" w:after="20"/>
            </w:pPr>
            <w:r/>
            <w:r>
              <w:rPr>
                <w:rFonts w:ascii="仿宋" w:hAnsi="仿宋" w:eastAsia="仿宋" w:cs="仿宋"/>
                <w:b w:val="0"/>
                <w:sz w:val="21"/>
              </w:rPr>
              <w:t>核对三处改动：①"小区A区业主"→"小区业主"；②"总建筑面积30060.52平方米"→"329304.21平方米"；③删除"企业新建用信息公示报告显示，2015年3月27日，中铁建物业公司负责人由赵力变更为孙驿杰。"整句。裁定正文</w:t>
            </w:r>
            <w:r>
              <w:rPr>
                <w:rFonts w:ascii="仿宋" w:hAnsi="仿宋" w:eastAsia="仿宋" w:cs="仿宋"/>
                <w:b/>
                <w:sz w:val="21"/>
              </w:rPr>
              <w:t>未载明任何理由或数据来源</w:t>
            </w:r>
            <w:r>
              <w:rPr>
                <w:rFonts w:ascii="仿宋" w:hAnsi="仿宋" w:eastAsia="仿宋" w:cs="仿宋"/>
                <w:b w:val="0"/>
                <w:sz w:val="21"/>
              </w:rPr>
              <w:t>。</w:t>
            </w:r>
          </w:p>
        </w:tc>
      </w:tr>
    </w:tbl>
    <w:p/>
    <w:p>
      <w:pPr>
        <w:spacing w:lineRule="exact" w:line="560" w:before="280" w:after="160"/>
        <w:jc w:val="center"/>
      </w:pPr>
      <w:r>
        <w:rPr>
          <w:rFonts w:ascii="仿宋" w:hAnsi="仿宋" w:eastAsia="仿宋" w:cs="仿宋"/>
          <w:b/>
          <w:sz w:val="30"/>
        </w:rPr>
        <w:t>第四部分　关于二审提交新证据的说明</w:t>
      </w:r>
    </w:p>
    <w:p>
      <w:pPr>
        <w:spacing w:lineRule="exact" w:line="560" w:before="40" w:after="40"/>
        <w:ind w:firstLine="600"/>
        <w:jc w:val="both"/>
      </w:pPr>
      <w:r>
        <w:rPr>
          <w:rFonts w:ascii="仿宋" w:hAnsi="仿宋" w:eastAsia="仿宋" w:cs="仿宋"/>
          <w:b w:val="0"/>
          <w:sz w:val="30"/>
        </w:rPr>
        <w:t>一、本目录第一部分证据2、11、12、13、14，均出自（2026）湘8601行初374号行政案件。该案</w:t>
      </w:r>
      <w:r>
        <w:rPr>
          <w:rFonts w:ascii="仿宋" w:hAnsi="仿宋" w:eastAsia="仿宋" w:cs="仿宋"/>
          <w:b/>
          <w:sz w:val="30"/>
        </w:rPr>
        <w:t>于2026年4月22日开庭、2026年5月14日作出判决</w:t>
      </w:r>
      <w:r>
        <w:rPr>
          <w:rFonts w:ascii="仿宋" w:hAnsi="仿宋" w:eastAsia="仿宋" w:cs="仿宋"/>
          <w:b w:val="0"/>
          <w:sz w:val="30"/>
        </w:rPr>
        <w:t>，均在本案一审判决（2026年4月14日）作出</w:t>
      </w:r>
      <w:r>
        <w:rPr>
          <w:rFonts w:ascii="仿宋" w:hAnsi="仿宋" w:eastAsia="仿宋" w:cs="仿宋"/>
          <w:b/>
          <w:sz w:val="30"/>
        </w:rPr>
        <w:t>之后</w:t>
      </w:r>
      <w:r>
        <w:rPr>
          <w:rFonts w:ascii="仿宋" w:hAnsi="仿宋" w:eastAsia="仿宋" w:cs="仿宋"/>
          <w:b w:val="0"/>
          <w:sz w:val="30"/>
        </w:rPr>
        <w:t>，一审审理期间客观上不存在，上诉人无法提交。</w:t>
      </w:r>
    </w:p>
    <w:p>
      <w:pPr>
        <w:spacing w:lineRule="exact" w:line="560" w:before="40" w:after="40"/>
        <w:ind w:firstLine="600"/>
        <w:jc w:val="both"/>
      </w:pPr>
      <w:r>
        <w:rPr>
          <w:rFonts w:ascii="仿宋" w:hAnsi="仿宋" w:eastAsia="仿宋" w:cs="仿宋"/>
          <w:b w:val="0"/>
          <w:sz w:val="30"/>
        </w:rPr>
        <w:t>二、本目录第一部分证据1（不动产权证），一审时已作为"不动产登记"提交并经质证，本次补充提交清晰完整件，</w:t>
      </w:r>
      <w:r>
        <w:rPr>
          <w:rFonts w:ascii="仿宋" w:hAnsi="仿宋" w:eastAsia="仿宋" w:cs="仿宋"/>
          <w:b/>
          <w:sz w:val="30"/>
        </w:rPr>
        <w:t>用于说明原判该项事实认定与在卷证据不符</w:t>
      </w:r>
      <w:r>
        <w:rPr>
          <w:rFonts w:ascii="仿宋" w:hAnsi="仿宋" w:eastAsia="仿宋" w:cs="仿宋"/>
          <w:b w:val="0"/>
          <w:sz w:val="30"/>
        </w:rPr>
        <w:t>，不属于逾期举证。</w:t>
      </w:r>
    </w:p>
    <w:p>
      <w:pPr>
        <w:spacing w:lineRule="exact" w:line="560" w:before="40" w:after="40"/>
        <w:ind w:firstLine="600"/>
        <w:jc w:val="both"/>
      </w:pPr>
      <w:r>
        <w:rPr>
          <w:rFonts w:ascii="仿宋" w:hAnsi="仿宋" w:eastAsia="仿宋" w:cs="仿宋"/>
          <w:b w:val="0"/>
          <w:sz w:val="30"/>
        </w:rPr>
        <w:t>三、本目录第一部分证据4至10、15至16，部分系上诉人于一审判决后通过政府信息公开、行政案件阅卷等途径陆续取得的清晰件或补充页，用于对已在卷材料作完整化补充。</w:t>
      </w:r>
    </w:p>
    <w:p>
      <w:pPr>
        <w:spacing w:lineRule="exact" w:line="560" w:before="40" w:after="40"/>
        <w:ind w:firstLine="600"/>
        <w:jc w:val="both"/>
      </w:pPr>
      <w:r>
        <w:rPr>
          <w:rFonts w:ascii="仿宋" w:hAnsi="仿宋" w:eastAsia="仿宋" w:cs="仿宋"/>
          <w:b w:val="0"/>
          <w:sz w:val="30"/>
        </w:rPr>
        <w:t>四、上诉人已就无法自行收集的材料，在第二部分一并提出调查取证申请，请求人民法院依职权调取或责令被上诉人提交。</w:t>
      </w:r>
      <w:r>
        <w:rPr>
          <w:rFonts w:ascii="仿宋" w:hAnsi="仿宋" w:eastAsia="仿宋" w:cs="仿宋"/>
          <w:b/>
          <w:sz w:val="30"/>
        </w:rPr>
        <w:t>其中第二部分第二项所列评标报告、投标文件、中标通知书三份文件，A区招投标备案表勾选栏已明确载明"随附报送备案"，被上诉人作为报送方应自持副本；如无正当理由拒不提交，请求依《最高人民法院关于民事诉讼证据的若干规定》第九十五条作出相应认定。</w:t>
      </w:r>
    </w:p>
    <w:p>
      <w:pPr>
        <w:spacing w:lineRule="exact" w:line="560" w:before="40" w:after="40"/>
        <w:ind w:firstLine="600"/>
        <w:jc w:val="both"/>
      </w:pPr>
      <w:r>
        <w:rPr>
          <w:rFonts w:ascii="仿宋" w:hAnsi="仿宋" w:eastAsia="仿宋" w:cs="仿宋"/>
          <w:b/>
          <w:sz w:val="30"/>
        </w:rPr>
        <w:t>上诉人：李国平</w:t>
      </w:r>
    </w:p>
    <w:p>
      <w:pPr>
        <w:spacing w:lineRule="exact" w:line="560" w:before="40" w:after="40"/>
        <w:ind w:firstLine="600"/>
        <w:jc w:val="both"/>
      </w:pPr>
      <w:r>
        <w:rPr>
          <w:rFonts w:ascii="仿宋" w:hAnsi="仿宋" w:eastAsia="仿宋" w:cs="仿宋"/>
          <w:b/>
          <w:sz w:val="30"/>
        </w:rPr>
        <w:t>委托诉讼代理人：</w:t>
      </w:r>
    </w:p>
    <w:p>
      <w:pPr>
        <w:spacing w:lineRule="exact" w:line="560" w:before="40" w:after="40"/>
        <w:ind w:firstLine="600"/>
        <w:jc w:val="both"/>
      </w:pPr>
      <w:r>
        <w:rPr>
          <w:rFonts w:ascii="仿宋" w:hAnsi="仿宋" w:eastAsia="仿宋" w:cs="仿宋"/>
          <w:b/>
          <w:sz w:val="30"/>
        </w:rPr>
        <w:t>2026年9月10日</w:t>
      </w:r>
    </w:p>
    <w:sectPr w:rsidR="00FC693F" w:rsidRPr="0006063C" w:rsidSect="00034616">
      <w:footerReference w:type="default" r:id="rId9"/>
      <w:pgSz w:w="11906" w:h="16838"/>
      <w:pgMar w:top="1417" w:right="1474"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仿宋" w:hAnsi="仿宋" w:eastAsia="仿宋" w:cs="仿宋"/>
        <w:b w:val="0"/>
        <w:sz w:val="21"/>
      </w:rPr>
      <w:t xml:space="preserve">— </w:t>
    </w:r>
    <w:fldSimple w:instr="PAGE">
      <w:r>
        <w:rPr>
          <w:rFonts w:ascii="仿宋" w:hAnsi="仿宋" w:eastAsia="仿宋"/>
          <w:sz w:val="21"/>
        </w:rPr>
      </w:r>
    </w:fldSimple>
    <w:r>
      <w:rPr>
        <w:rFonts w:ascii="仿宋" w:hAnsi="仿宋" w:eastAsia="仿宋" w:cs="仿宋"/>
        <w:b w:val="0"/>
        <w:sz w:val="21"/>
      </w:rPr>
      <w:t xml:space="preserve"> —</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