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民事二审代理意见</w:t>
      </w:r>
    </w:p>
    <w:p>
      <w:pPr>
        <w:spacing w:lineRule="exact" w:line="560" w:before="0" w:after="280"/>
        <w:jc w:val="center"/>
      </w:pPr>
      <w:r>
        <w:rPr>
          <w:rFonts w:ascii="仿宋" w:hAnsi="仿宋" w:eastAsia="仿宋" w:cs="仿宋"/>
          <w:b w:val="0"/>
          <w:sz w:val="26"/>
        </w:rPr>
        <w:t>（2026）湘01民终13074号</w:t>
      </w:r>
    </w:p>
    <w:p>
      <w:pPr>
        <w:spacing w:lineRule="exact" w:line="560" w:before="40" w:after="40"/>
        <w:ind w:firstLine="600"/>
        <w:jc w:val="both"/>
      </w:pPr>
      <w:r>
        <w:rPr>
          <w:rFonts w:ascii="仿宋" w:hAnsi="仿宋" w:eastAsia="仿宋" w:cs="仿宋"/>
          <w:b/>
          <w:sz w:val="30"/>
        </w:rPr>
        <w:t>案　　号：</w:t>
      </w:r>
      <w:r>
        <w:rPr>
          <w:rFonts w:ascii="仿宋" w:hAnsi="仿宋" w:eastAsia="仿宋" w:cs="仿宋"/>
          <w:b w:val="0"/>
          <w:sz w:val="30"/>
        </w:rPr>
        <w:t xml:space="preserve"> （2026）湘01民终13074号</w:t>
      </w:r>
    </w:p>
    <w:p>
      <w:pPr>
        <w:spacing w:lineRule="exact" w:line="560" w:before="40" w:after="40"/>
        <w:ind w:firstLine="600"/>
        <w:jc w:val="both"/>
      </w:pPr>
      <w:r>
        <w:rPr>
          <w:rFonts w:ascii="仿宋" w:hAnsi="仿宋" w:eastAsia="仿宋" w:cs="仿宋"/>
          <w:b/>
          <w:sz w:val="30"/>
        </w:rPr>
        <w:t>上 诉 人：</w:t>
      </w:r>
      <w:r>
        <w:rPr>
          <w:rFonts w:ascii="仿宋" w:hAnsi="仿宋" w:eastAsia="仿宋" w:cs="仿宋"/>
          <w:b w:val="0"/>
          <w:sz w:val="30"/>
        </w:rPr>
        <w:t xml:space="preserve"> 李国平（一审原告）</w:t>
      </w:r>
    </w:p>
    <w:p>
      <w:pPr>
        <w:spacing w:lineRule="exact" w:line="560" w:before="40" w:after="40"/>
        <w:ind w:firstLine="600"/>
        <w:jc w:val="both"/>
      </w:pPr>
      <w:r>
        <w:rPr>
          <w:rFonts w:ascii="仿宋" w:hAnsi="仿宋" w:eastAsia="仿宋" w:cs="仿宋"/>
          <w:b/>
          <w:sz w:val="30"/>
        </w:rPr>
        <w:t>被上诉人一：</w:t>
      </w:r>
      <w:r>
        <w:rPr>
          <w:rFonts w:ascii="仿宋" w:hAnsi="仿宋" w:eastAsia="仿宋" w:cs="仿宋"/>
          <w:b w:val="0"/>
          <w:sz w:val="30"/>
        </w:rPr>
        <w:t xml:space="preserve"> 中铁建物业管理有限公司长沙分公司（一审被告）</w:t>
      </w:r>
    </w:p>
    <w:p>
      <w:pPr>
        <w:spacing w:lineRule="exact" w:line="560" w:before="40" w:after="40"/>
        <w:ind w:firstLine="600"/>
        <w:jc w:val="both"/>
      </w:pPr>
      <w:r>
        <w:rPr>
          <w:rFonts w:ascii="仿宋" w:hAnsi="仿宋" w:eastAsia="仿宋" w:cs="仿宋"/>
          <w:b/>
          <w:sz w:val="30"/>
        </w:rPr>
        <w:t>被上诉人二：</w:t>
      </w:r>
      <w:r>
        <w:rPr>
          <w:rFonts w:ascii="仿宋" w:hAnsi="仿宋" w:eastAsia="仿宋" w:cs="仿宋"/>
          <w:b w:val="0"/>
          <w:sz w:val="30"/>
        </w:rPr>
        <w:t xml:space="preserve"> 中铁房地产集团长沙置业有限公司（一审被告）</w:t>
      </w:r>
    </w:p>
    <w:p>
      <w:pPr>
        <w:spacing w:lineRule="exact" w:line="560" w:before="40" w:after="40"/>
        <w:ind w:firstLine="600"/>
        <w:jc w:val="both"/>
      </w:pPr>
      <w:r>
        <w:rPr>
          <w:rFonts w:ascii="仿宋" w:hAnsi="仿宋" w:eastAsia="仿宋" w:cs="仿宋"/>
          <w:b/>
          <w:sz w:val="30"/>
        </w:rPr>
        <w:t>案　　由：</w:t>
      </w:r>
      <w:r>
        <w:rPr>
          <w:rFonts w:ascii="仿宋" w:hAnsi="仿宋" w:eastAsia="仿宋" w:cs="仿宋"/>
          <w:b w:val="0"/>
          <w:sz w:val="30"/>
        </w:rPr>
        <w:t xml:space="preserve"> 确认合同无效纠纷</w:t>
      </w:r>
    </w:p>
    <w:p>
      <w:pPr>
        <w:spacing w:lineRule="exact" w:line="560" w:before="40" w:after="40"/>
        <w:ind w:firstLine="600"/>
        <w:jc w:val="both"/>
      </w:pPr>
      <w:r>
        <w:rPr>
          <w:rFonts w:ascii="仿宋" w:hAnsi="仿宋" w:eastAsia="仿宋" w:cs="仿宋"/>
          <w:b/>
          <w:sz w:val="30"/>
        </w:rPr>
        <w:t>原　　审：</w:t>
      </w:r>
      <w:r>
        <w:rPr>
          <w:rFonts w:ascii="仿宋" w:hAnsi="仿宋" w:eastAsia="仿宋" w:cs="仿宋"/>
          <w:b w:val="0"/>
          <w:sz w:val="30"/>
        </w:rPr>
        <w:t xml:space="preserve"> （2025）湘0105民初27046号民事判决书；（2026）湘0105民初27046号民事裁定书（补正裁定）</w:t>
      </w:r>
    </w:p>
    <w:p>
      <w:pPr>
        <w:spacing w:lineRule="exact" w:line="560" w:before="160" w:after="80"/>
      </w:pPr>
      <w:r>
        <w:rPr>
          <w:rFonts w:ascii="仿宋" w:hAnsi="仿宋" w:eastAsia="仿宋" w:cs="仿宋"/>
          <w:b/>
          <w:sz w:val="30"/>
        </w:rPr>
        <w:t>上诉请求</w:t>
      </w:r>
    </w:p>
    <w:p>
      <w:pPr>
        <w:spacing w:lineRule="exact" w:line="560" w:before="40" w:after="40"/>
        <w:ind w:firstLine="600"/>
        <w:jc w:val="both"/>
      </w:pPr>
      <w:r>
        <w:rPr>
          <w:rFonts w:ascii="仿宋" w:hAnsi="仿宋" w:eastAsia="仿宋" w:cs="仿宋"/>
          <w:b w:val="0"/>
          <w:sz w:val="30"/>
        </w:rPr>
        <w:t>一、撤销（2025）湘0105民初27046号民事判决，发回长沙市开福区人民法院重审；</w:t>
      </w:r>
    </w:p>
    <w:p>
      <w:pPr>
        <w:spacing w:lineRule="exact" w:line="560" w:before="40" w:after="40"/>
        <w:ind w:firstLine="600"/>
        <w:jc w:val="both"/>
      </w:pPr>
      <w:r>
        <w:rPr>
          <w:rFonts w:ascii="仿宋" w:hAnsi="仿宋" w:eastAsia="仿宋" w:cs="仿宋"/>
          <w:b w:val="0"/>
          <w:sz w:val="30"/>
        </w:rPr>
        <w:t>二、如二审认为本案基本事实已经查清，改判确认案涉《长沙中国铁建山语城第三期A区前期物业服务合同》《长沙中国铁建山语城第三期B、C区前期物业服务合同》自始无效。</w:t>
      </w:r>
    </w:p>
    <w:p>
      <w:pPr>
        <w:spacing w:lineRule="exact" w:line="560" w:before="160" w:after="80"/>
      </w:pPr>
      <w:r>
        <w:rPr>
          <w:rFonts w:ascii="仿宋" w:hAnsi="仿宋" w:eastAsia="仿宋" w:cs="仿宋"/>
          <w:b/>
          <w:sz w:val="30"/>
        </w:rPr>
        <w:t>代理意见</w:t>
      </w:r>
    </w:p>
    <w:p>
      <w:pPr>
        <w:spacing w:lineRule="exact" w:line="560" w:before="40" w:after="40"/>
        <w:ind w:firstLine="600"/>
        <w:jc w:val="both"/>
      </w:pPr>
      <w:r>
        <w:rPr>
          <w:rFonts w:ascii="仿宋" w:hAnsi="仿宋" w:eastAsia="仿宋" w:cs="仿宋"/>
          <w:b w:val="0"/>
          <w:sz w:val="30"/>
        </w:rPr>
        <w:t>尊敬的合议庭：</w:t>
      </w:r>
    </w:p>
    <w:p>
      <w:pPr>
        <w:spacing w:lineRule="exact" w:line="560" w:before="40" w:after="40"/>
        <w:ind w:firstLine="600"/>
        <w:jc w:val="both"/>
      </w:pPr>
      <w:r>
        <w:rPr>
          <w:rFonts w:ascii="仿宋" w:hAnsi="仿宋" w:eastAsia="仿宋" w:cs="仿宋"/>
          <w:b w:val="0"/>
          <w:sz w:val="30"/>
        </w:rPr>
        <w:t>上诉人认为，原判并非个别说理不充分，而是</w:t>
      </w:r>
      <w:r>
        <w:rPr>
          <w:rFonts w:ascii="仿宋" w:hAnsi="仿宋" w:eastAsia="仿宋" w:cs="仿宋"/>
          <w:b/>
          <w:sz w:val="30"/>
        </w:rPr>
        <w:t>在两个独立的诉讼标的中只完成了其中一个的事实审理</w:t>
      </w:r>
      <w:r>
        <w:rPr>
          <w:rFonts w:ascii="仿宋" w:hAnsi="仿宋" w:eastAsia="仿宋" w:cs="仿宋"/>
          <w:b w:val="0"/>
          <w:sz w:val="30"/>
        </w:rPr>
        <w:t>，并在确定诉的利益范围的基本事实上作出了与在卷已质证证据相反的认定。以下九项，除第九项外，</w:t>
      </w:r>
      <w:r>
        <w:rPr>
          <w:rFonts w:ascii="仿宋" w:hAnsi="仿宋" w:eastAsia="仿宋" w:cs="仿宋"/>
          <w:b/>
          <w:sz w:val="30"/>
        </w:rPr>
        <w:t>全部可以从原审判决书、补正裁定、一审庭审笔录及在卷证据当庭核对，不依赖任何新的调查</w:t>
      </w:r>
      <w:r>
        <w:rPr>
          <w:rFonts w:ascii="仿宋" w:hAnsi="仿宋" w:eastAsia="仿宋" w:cs="仿宋"/>
          <w:b w:val="0"/>
          <w:sz w:val="30"/>
        </w:rPr>
        <w:t>。</w:t>
      </w:r>
    </w:p>
    <w:p>
      <w:pPr>
        <w:spacing w:lineRule="exact" w:line="560" w:before="160" w:after="80"/>
      </w:pPr>
      <w:r>
        <w:rPr>
          <w:rFonts w:ascii="仿宋" w:hAnsi="仿宋" w:eastAsia="仿宋" w:cs="仿宋"/>
          <w:b/>
          <w:sz w:val="30"/>
        </w:rPr>
        <w:t>一、原判对上诉人房屋所在区位的认定，与在卷已经质证的证据直接相反；该项基本事实经补正后已从判决文本中彻底消失</w:t>
      </w:r>
    </w:p>
    <w:p>
      <w:pPr>
        <w:spacing w:lineRule="exact" w:line="560" w:before="40" w:after="40"/>
        <w:ind w:firstLine="600"/>
        <w:jc w:val="both"/>
      </w:pPr>
      <w:r>
        <w:rPr>
          <w:rFonts w:ascii="仿宋" w:hAnsi="仿宋" w:eastAsia="仿宋" w:cs="仿宋"/>
          <w:b w:val="0"/>
          <w:sz w:val="30"/>
        </w:rPr>
        <w:t>原判第9页"本院认定事实"第一项认定："原告系长沙市开福区山语城三期小区</w:t>
      </w:r>
      <w:r>
        <w:rPr>
          <w:rFonts w:ascii="仿宋" w:hAnsi="仿宋" w:eastAsia="仿宋" w:cs="仿宋"/>
          <w:b/>
          <w:sz w:val="30"/>
        </w:rPr>
        <w:t>A区</w:t>
      </w:r>
      <w:r>
        <w:rPr>
          <w:rFonts w:ascii="仿宋" w:hAnsi="仿宋" w:eastAsia="仿宋" w:cs="仿宋"/>
          <w:b w:val="0"/>
          <w:sz w:val="30"/>
        </w:rPr>
        <w:t>业主。"</w:t>
      </w:r>
    </w:p>
    <w:p>
      <w:pPr>
        <w:spacing w:lineRule="exact" w:line="560" w:before="40" w:after="40"/>
        <w:ind w:firstLine="600"/>
        <w:jc w:val="both"/>
      </w:pPr>
      <w:r>
        <w:rPr>
          <w:rFonts w:ascii="仿宋" w:hAnsi="仿宋" w:eastAsia="仿宋" w:cs="仿宋"/>
          <w:b w:val="0"/>
          <w:sz w:val="30"/>
        </w:rPr>
        <w:t>与之不符的在卷材料有四项：</w:t>
      </w:r>
    </w:p>
    <w:p>
      <w:pPr>
        <w:spacing w:lineRule="exact" w:line="560" w:before="20" w:after="20"/>
        <w:ind w:left="600"/>
      </w:pPr>
      <w:r>
        <w:rPr>
          <w:rFonts w:ascii="仿宋" w:hAnsi="仿宋" w:eastAsia="仿宋" w:cs="仿宋"/>
          <w:b w:val="0"/>
          <w:sz w:val="30"/>
        </w:rPr>
        <w:t>1.　上诉人《不动产权证书》载明房屋坐落为"山语城三期</w:t>
      </w:r>
      <w:r>
        <w:rPr>
          <w:rFonts w:ascii="仿宋" w:hAnsi="仿宋" w:eastAsia="仿宋" w:cs="仿宋"/>
          <w:b/>
          <w:sz w:val="30"/>
        </w:rPr>
        <w:t>12栋</w:t>
      </w:r>
      <w:r>
        <w:rPr>
          <w:rFonts w:ascii="仿宋" w:hAnsi="仿宋" w:eastAsia="仿宋" w:cs="仿宋"/>
          <w:b w:val="0"/>
          <w:sz w:val="30"/>
        </w:rPr>
        <w:t>503"；</w:t>
      </w:r>
    </w:p>
    <w:p>
      <w:pPr>
        <w:spacing w:lineRule="exact" w:line="560" w:before="20" w:after="20"/>
        <w:ind w:left="600"/>
      </w:pPr>
      <w:r>
        <w:rPr>
          <w:rFonts w:ascii="仿宋" w:hAnsi="仿宋" w:eastAsia="仿宋" w:cs="仿宋"/>
          <w:b w:val="0"/>
          <w:sz w:val="30"/>
        </w:rPr>
        <w:t>2.　（2026）湘8601行初374号</w:t>
      </w:r>
      <w:r>
        <w:rPr>
          <w:rFonts w:ascii="仿宋" w:hAnsi="仿宋" w:eastAsia="仿宋" w:cs="仿宋"/>
          <w:b/>
          <w:sz w:val="30"/>
        </w:rPr>
        <w:t>生效行政判决</w:t>
      </w:r>
      <w:r>
        <w:rPr>
          <w:rFonts w:ascii="仿宋" w:hAnsi="仿宋" w:eastAsia="仿宋" w:cs="仿宋"/>
          <w:b w:val="0"/>
          <w:sz w:val="30"/>
        </w:rPr>
        <w:t>第2页认定："原告系长沙市开福区中国铁建山语城三期</w:t>
      </w:r>
      <w:r>
        <w:rPr>
          <w:rFonts w:ascii="仿宋" w:hAnsi="仿宋" w:eastAsia="仿宋" w:cs="仿宋"/>
          <w:b/>
          <w:sz w:val="30"/>
        </w:rPr>
        <w:t>12栋</w:t>
      </w:r>
      <w:r>
        <w:rPr>
          <w:rFonts w:ascii="仿宋" w:hAnsi="仿宋" w:eastAsia="仿宋" w:cs="仿宋"/>
          <w:b w:val="0"/>
          <w:sz w:val="30"/>
        </w:rPr>
        <w:t>的业主"；</w:t>
      </w:r>
    </w:p>
    <w:p>
      <w:pPr>
        <w:spacing w:lineRule="exact" w:line="560" w:before="20" w:after="20"/>
        <w:ind w:left="600"/>
      </w:pPr>
      <w:r>
        <w:rPr>
          <w:rFonts w:ascii="仿宋" w:hAnsi="仿宋" w:eastAsia="仿宋" w:cs="仿宋"/>
          <w:b w:val="0"/>
          <w:sz w:val="30"/>
        </w:rPr>
        <w:t>3.　案涉项目分区资料显示，A区为住宅1#—5#栋、商业15#栋，而11#、12#、13#栋对应C组团；</w:t>
      </w:r>
    </w:p>
    <w:p>
      <w:pPr>
        <w:spacing w:lineRule="exact" w:line="560" w:before="20" w:after="20"/>
        <w:ind w:left="600"/>
      </w:pPr>
      <w:r>
        <w:rPr>
          <w:rFonts w:ascii="仿宋" w:hAnsi="仿宋" w:eastAsia="仿宋" w:cs="仿宋"/>
          <w:b w:val="0"/>
          <w:sz w:val="30"/>
        </w:rPr>
        <w:t xml:space="preserve">4.　</w:t>
      </w:r>
      <w:r>
        <w:rPr>
          <w:rFonts w:ascii="仿宋" w:hAnsi="仿宋" w:eastAsia="仿宋" w:cs="仿宋"/>
          <w:b/>
          <w:sz w:val="30"/>
        </w:rPr>
        <w:t>被上诉人一在一审庭审辩论中自认</w:t>
      </w:r>
      <w:r>
        <w:rPr>
          <w:rFonts w:ascii="仿宋" w:hAnsi="仿宋" w:eastAsia="仿宋" w:cs="仿宋"/>
          <w:b w:val="0"/>
          <w:sz w:val="30"/>
        </w:rPr>
        <w:t>："原告所有房产虽在</w:t>
      </w:r>
      <w:r>
        <w:rPr>
          <w:rFonts w:ascii="仿宋" w:hAnsi="仿宋" w:eastAsia="仿宋" w:cs="仿宋"/>
          <w:b/>
          <w:sz w:val="30"/>
        </w:rPr>
        <w:t>B、C区</w:t>
      </w:r>
      <w:r>
        <w:rPr>
          <w:rFonts w:ascii="仿宋" w:hAnsi="仿宋" w:eastAsia="仿宋" w:cs="仿宋"/>
          <w:b w:val="0"/>
          <w:sz w:val="30"/>
        </w:rPr>
        <w:t>前期物业服务协议服务范围内……"（一审庭审笔录第4页）。</w:t>
      </w:r>
    </w:p>
    <w:p>
      <w:pPr>
        <w:spacing w:lineRule="exact" w:line="560" w:before="40" w:after="40"/>
        <w:ind w:firstLine="600"/>
        <w:jc w:val="both"/>
      </w:pPr>
      <w:r>
        <w:rPr>
          <w:rFonts w:ascii="仿宋" w:hAnsi="仿宋" w:eastAsia="仿宋" w:cs="仿宋"/>
          <w:b w:val="0"/>
          <w:sz w:val="30"/>
        </w:rPr>
        <w:t>尤须指出：</w:t>
      </w:r>
      <w:r>
        <w:rPr>
          <w:rFonts w:ascii="仿宋" w:hAnsi="仿宋" w:eastAsia="仿宋" w:cs="仿宋"/>
          <w:b/>
          <w:sz w:val="30"/>
        </w:rPr>
        <w:t>原判第8页所列的定案证据中已经包含"不动产登记"</w:t>
      </w:r>
      <w:r>
        <w:rPr>
          <w:rFonts w:ascii="仿宋" w:hAnsi="仿宋" w:eastAsia="仿宋" w:cs="仿宋"/>
          <w:b w:val="0"/>
          <w:sz w:val="30"/>
        </w:rPr>
        <w:t>，即该证据一审已经提交并经庭审质证，判决却作出了与该证据相反的认定。</w:t>
      </w:r>
    </w:p>
    <w:p>
      <w:pPr>
        <w:spacing w:lineRule="exact" w:line="560" w:before="40" w:after="40"/>
        <w:ind w:firstLine="600"/>
        <w:jc w:val="both"/>
      </w:pPr>
      <w:r>
        <w:rPr>
          <w:rFonts w:ascii="仿宋" w:hAnsi="仿宋" w:eastAsia="仿宋" w:cs="仿宋"/>
          <w:b w:val="0"/>
          <w:sz w:val="30"/>
        </w:rPr>
        <w:t>依《民诉法解释》第三百三十三条，"用以确定当事人主体资格……对原判决、裁定的结果有实质性影响的事实"即为基本事实。上诉人房屋位于哪一个区，</w:t>
      </w:r>
      <w:r>
        <w:rPr>
          <w:rFonts w:ascii="仿宋" w:hAnsi="仿宋" w:eastAsia="仿宋" w:cs="仿宋"/>
          <w:b/>
          <w:sz w:val="30"/>
        </w:rPr>
        <w:t>直接决定其对A区合同、B/C区合同分别有无诉的利益</w:t>
      </w:r>
      <w:r>
        <w:rPr>
          <w:rFonts w:ascii="仿宋" w:hAnsi="仿宋" w:eastAsia="仿宋" w:cs="仿宋"/>
          <w:b w:val="0"/>
          <w:sz w:val="30"/>
        </w:rPr>
        <w:t>，属基本事实无疑。</w:t>
      </w:r>
    </w:p>
    <w:p>
      <w:pPr>
        <w:spacing w:lineRule="exact" w:line="560" w:before="40" w:after="40"/>
        <w:ind w:firstLine="600"/>
        <w:jc w:val="both"/>
      </w:pPr>
      <w:r>
        <w:rPr>
          <w:rFonts w:ascii="仿宋" w:hAnsi="仿宋" w:eastAsia="仿宋" w:cs="仿宋"/>
          <w:b w:val="0"/>
          <w:sz w:val="30"/>
        </w:rPr>
        <w:t>补正裁定的处理方式，是将"小区A区业主"改为"小区业主"，即</w:t>
      </w:r>
      <w:r>
        <w:rPr>
          <w:rFonts w:ascii="仿宋" w:hAnsi="仿宋" w:eastAsia="仿宋" w:cs="仿宋"/>
          <w:b/>
          <w:sz w:val="30"/>
        </w:rPr>
        <w:t>删除区位限定而未更正为真实区位</w:t>
      </w:r>
      <w:r>
        <w:rPr>
          <w:rFonts w:ascii="仿宋" w:hAnsi="仿宋" w:eastAsia="仿宋" w:cs="仿宋"/>
          <w:b w:val="0"/>
          <w:sz w:val="30"/>
        </w:rPr>
        <w:t>。其后果是：判决文本自补正之后</w:t>
      </w:r>
      <w:r>
        <w:rPr>
          <w:rFonts w:ascii="仿宋" w:hAnsi="仿宋" w:eastAsia="仿宋" w:cs="仿宋"/>
          <w:b/>
          <w:sz w:val="30"/>
        </w:rPr>
        <w:t>不再记载上诉人房屋所在的任何区位</w:t>
      </w:r>
      <w:r>
        <w:rPr>
          <w:rFonts w:ascii="仿宋" w:hAnsi="仿宋" w:eastAsia="仿宋" w:cs="仿宋"/>
          <w:b w:val="0"/>
          <w:sz w:val="30"/>
        </w:rPr>
        <w:t>，无从判断原审究竟以哪一区的事实为基础，得出覆盖两份合同的统一效力结论。</w:t>
      </w:r>
    </w:p>
    <w:p>
      <w:pPr>
        <w:spacing w:lineRule="exact" w:line="560" w:before="160" w:after="80"/>
      </w:pPr>
      <w:r>
        <w:rPr>
          <w:rFonts w:ascii="仿宋" w:hAnsi="仿宋" w:eastAsia="仿宋" w:cs="仿宋"/>
          <w:b/>
          <w:sz w:val="30"/>
        </w:rPr>
        <w:t>二、本案系两个独立的诉讼标的，而原审对B、C区合同未作任何独立的招投标事实认定</w:t>
      </w:r>
    </w:p>
    <w:p>
      <w:pPr>
        <w:spacing w:lineRule="exact" w:line="560" w:before="40" w:after="40"/>
        <w:ind w:firstLine="600"/>
        <w:jc w:val="both"/>
      </w:pPr>
      <w:r>
        <w:rPr>
          <w:rFonts w:ascii="仿宋" w:hAnsi="仿宋" w:eastAsia="仿宋" w:cs="仿宋"/>
          <w:b w:val="0"/>
          <w:sz w:val="30"/>
        </w:rPr>
        <w:t>案涉两份合同在形成事实上完全分离：</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910"/>
        <w:gridCol w:w="2910"/>
        <w:gridCol w:w="2910"/>
      </w:tblGrid>
      <w:tr>
        <w:tc>
          <w:tcPr>
            <w:tcW w:type="dxa" w:w="2910"/>
          </w:tcPr>
          <w:p>
            <w:pPr>
              <w:spacing w:lineRule="auto" w:line="240" w:before="20" w:after="20"/>
            </w:pPr>
            <w:r/>
            <w:r>
              <w:rPr>
                <w:rFonts w:ascii="仿宋" w:hAnsi="仿宋" w:eastAsia="仿宋" w:cs="仿宋"/>
                <w:b/>
                <w:sz w:val="21"/>
              </w:rPr>
              <w:t>事项</w:t>
            </w:r>
          </w:p>
        </w:tc>
        <w:tc>
          <w:tcPr>
            <w:tcW w:type="dxa" w:w="2910"/>
          </w:tcPr>
          <w:p>
            <w:pPr>
              <w:spacing w:lineRule="auto" w:line="240" w:before="20" w:after="20"/>
            </w:pPr>
            <w:r/>
            <w:r>
              <w:rPr>
                <w:rFonts w:ascii="仿宋" w:hAnsi="仿宋" w:eastAsia="仿宋" w:cs="仿宋"/>
                <w:b/>
                <w:sz w:val="21"/>
              </w:rPr>
              <w:t>A区（2014年）</w:t>
            </w:r>
          </w:p>
        </w:tc>
        <w:tc>
          <w:tcPr>
            <w:tcW w:type="dxa" w:w="2910"/>
          </w:tcPr>
          <w:p>
            <w:pPr>
              <w:spacing w:lineRule="auto" w:line="240" w:before="20" w:after="20"/>
            </w:pPr>
            <w:r/>
            <w:r>
              <w:rPr>
                <w:rFonts w:ascii="仿宋" w:hAnsi="仿宋" w:eastAsia="仿宋" w:cs="仿宋"/>
                <w:b/>
                <w:sz w:val="21"/>
              </w:rPr>
              <w:t>B、C区（2016年）</w:t>
            </w:r>
          </w:p>
        </w:tc>
      </w:tr>
      <w:tr>
        <w:tc>
          <w:tcPr>
            <w:tcW w:type="dxa" w:w="2910"/>
          </w:tcPr>
          <w:p>
            <w:pPr>
              <w:spacing w:lineRule="auto" w:line="240" w:before="20" w:after="20"/>
            </w:pPr>
            <w:r/>
            <w:r>
              <w:rPr>
                <w:rFonts w:ascii="仿宋" w:hAnsi="仿宋" w:eastAsia="仿宋" w:cs="仿宋"/>
                <w:b w:val="0"/>
                <w:sz w:val="21"/>
              </w:rPr>
              <w:t>中标确认</w:t>
            </w:r>
          </w:p>
        </w:tc>
        <w:tc>
          <w:tcPr>
            <w:tcW w:type="dxa" w:w="2910"/>
          </w:tcPr>
          <w:p>
            <w:pPr>
              <w:spacing w:lineRule="auto" w:line="240" w:before="20" w:after="20"/>
            </w:pPr>
            <w:r/>
            <w:r>
              <w:rPr>
                <w:rFonts w:ascii="仿宋" w:hAnsi="仿宋" w:eastAsia="仿宋" w:cs="仿宋"/>
                <w:b w:val="0"/>
                <w:sz w:val="21"/>
              </w:rPr>
              <w:t>2014年4月23日建设单位申请意见；同年5月中标备案</w:t>
            </w:r>
          </w:p>
        </w:tc>
        <w:tc>
          <w:tcPr>
            <w:tcW w:type="dxa" w:w="2910"/>
          </w:tcPr>
          <w:p>
            <w:pPr>
              <w:spacing w:lineRule="auto" w:line="240" w:before="20" w:after="20"/>
            </w:pPr>
            <w:r/>
            <w:r>
              <w:rPr>
                <w:rFonts w:ascii="仿宋" w:hAnsi="仿宋" w:eastAsia="仿宋" w:cs="仿宋"/>
                <w:b w:val="0"/>
                <w:sz w:val="21"/>
              </w:rPr>
              <w:t>2016年4月22日中标</w:t>
            </w:r>
          </w:p>
        </w:tc>
      </w:tr>
      <w:tr>
        <w:tc>
          <w:tcPr>
            <w:tcW w:type="dxa" w:w="2910"/>
          </w:tcPr>
          <w:p>
            <w:pPr>
              <w:spacing w:lineRule="auto" w:line="240" w:before="20" w:after="20"/>
            </w:pPr>
            <w:r/>
            <w:r>
              <w:rPr>
                <w:rFonts w:ascii="仿宋" w:hAnsi="仿宋" w:eastAsia="仿宋" w:cs="仿宋"/>
                <w:b w:val="0"/>
                <w:sz w:val="21"/>
              </w:rPr>
              <w:t>建设单位法定代表人签章</w:t>
            </w:r>
          </w:p>
        </w:tc>
        <w:tc>
          <w:tcPr>
            <w:tcW w:type="dxa" w:w="2910"/>
          </w:tcPr>
          <w:p>
            <w:pPr>
              <w:spacing w:lineRule="auto" w:line="240" w:before="20" w:after="20"/>
            </w:pPr>
            <w:r/>
            <w:r>
              <w:rPr>
                <w:rFonts w:ascii="仿宋" w:hAnsi="仿宋" w:eastAsia="仿宋" w:cs="仿宋"/>
                <w:b w:val="0"/>
                <w:sz w:val="21"/>
              </w:rPr>
              <w:t>赵力</w:t>
            </w:r>
          </w:p>
        </w:tc>
        <w:tc>
          <w:tcPr>
            <w:tcW w:type="dxa" w:w="2910"/>
          </w:tcPr>
          <w:p>
            <w:pPr>
              <w:spacing w:lineRule="auto" w:line="240" w:before="20" w:after="20"/>
            </w:pPr>
            <w:r/>
            <w:r>
              <w:rPr>
                <w:rFonts w:ascii="仿宋" w:hAnsi="仿宋" w:eastAsia="仿宋" w:cs="仿宋"/>
                <w:b/>
                <w:sz w:val="21"/>
              </w:rPr>
              <w:t>王刚</w:t>
            </w:r>
          </w:p>
        </w:tc>
      </w:tr>
      <w:tr>
        <w:tc>
          <w:tcPr>
            <w:tcW w:type="dxa" w:w="2910"/>
          </w:tcPr>
          <w:p>
            <w:pPr>
              <w:spacing w:lineRule="auto" w:line="240" w:before="20" w:after="20"/>
            </w:pPr>
            <w:r/>
            <w:r>
              <w:rPr>
                <w:rFonts w:ascii="仿宋" w:hAnsi="仿宋" w:eastAsia="仿宋" w:cs="仿宋"/>
                <w:b w:val="0"/>
                <w:sz w:val="21"/>
              </w:rPr>
              <w:t>中标企业法定代表人</w:t>
            </w:r>
          </w:p>
        </w:tc>
        <w:tc>
          <w:tcPr>
            <w:tcW w:type="dxa" w:w="2910"/>
          </w:tcPr>
          <w:p>
            <w:pPr>
              <w:spacing w:lineRule="auto" w:line="240" w:before="20" w:after="20"/>
            </w:pPr>
            <w:r/>
            <w:r>
              <w:rPr>
                <w:rFonts w:ascii="仿宋" w:hAnsi="仿宋" w:eastAsia="仿宋" w:cs="仿宋"/>
                <w:b w:val="0"/>
                <w:sz w:val="21"/>
              </w:rPr>
              <w:t>侯加海</w:t>
            </w:r>
          </w:p>
        </w:tc>
        <w:tc>
          <w:tcPr>
            <w:tcW w:type="dxa" w:w="2910"/>
          </w:tcPr>
          <w:p>
            <w:pPr>
              <w:spacing w:lineRule="auto" w:line="240" w:before="20" w:after="20"/>
            </w:pPr>
            <w:r/>
            <w:r>
              <w:rPr>
                <w:rFonts w:ascii="仿宋" w:hAnsi="仿宋" w:eastAsia="仿宋" w:cs="仿宋"/>
                <w:b/>
                <w:sz w:val="21"/>
              </w:rPr>
              <w:t>林凤臣</w:t>
            </w:r>
          </w:p>
        </w:tc>
      </w:tr>
      <w:tr>
        <w:tc>
          <w:tcPr>
            <w:tcW w:type="dxa" w:w="2910"/>
          </w:tcPr>
          <w:p>
            <w:pPr>
              <w:spacing w:lineRule="auto" w:line="240" w:before="20" w:after="20"/>
            </w:pPr>
            <w:r/>
            <w:r>
              <w:rPr>
                <w:rFonts w:ascii="仿宋" w:hAnsi="仿宋" w:eastAsia="仿宋" w:cs="仿宋"/>
                <w:b w:val="0"/>
                <w:sz w:val="21"/>
              </w:rPr>
              <w:t>中标企业负责人</w:t>
            </w:r>
          </w:p>
        </w:tc>
        <w:tc>
          <w:tcPr>
            <w:tcW w:type="dxa" w:w="2910"/>
          </w:tcPr>
          <w:p>
            <w:pPr>
              <w:spacing w:lineRule="auto" w:line="240" w:before="20" w:after="20"/>
            </w:pPr>
            <w:r/>
            <w:r>
              <w:rPr>
                <w:rFonts w:ascii="仿宋" w:hAnsi="仿宋" w:eastAsia="仿宋" w:cs="仿宋"/>
                <w:b w:val="0"/>
                <w:sz w:val="21"/>
              </w:rPr>
              <w:t>赵力</w:t>
            </w:r>
          </w:p>
        </w:tc>
        <w:tc>
          <w:tcPr>
            <w:tcW w:type="dxa" w:w="2910"/>
          </w:tcPr>
          <w:p>
            <w:pPr>
              <w:spacing w:lineRule="auto" w:line="240" w:before="20" w:after="20"/>
            </w:pPr>
            <w:r/>
            <w:r>
              <w:rPr>
                <w:rFonts w:ascii="仿宋" w:hAnsi="仿宋" w:eastAsia="仿宋" w:cs="仿宋"/>
                <w:b/>
                <w:sz w:val="21"/>
              </w:rPr>
              <w:t>林凤臣</w:t>
            </w:r>
          </w:p>
        </w:tc>
      </w:tr>
      <w:tr>
        <w:tc>
          <w:tcPr>
            <w:tcW w:type="dxa" w:w="2910"/>
          </w:tcPr>
          <w:p>
            <w:pPr>
              <w:spacing w:lineRule="auto" w:line="240" w:before="20" w:after="20"/>
            </w:pPr>
            <w:r/>
            <w:r>
              <w:rPr>
                <w:rFonts w:ascii="仿宋" w:hAnsi="仿宋" w:eastAsia="仿宋" w:cs="仿宋"/>
                <w:b w:val="0"/>
                <w:sz w:val="21"/>
              </w:rPr>
              <w:t>项目负责人</w:t>
            </w:r>
          </w:p>
        </w:tc>
        <w:tc>
          <w:tcPr>
            <w:tcW w:type="dxa" w:w="2910"/>
          </w:tcPr>
          <w:p>
            <w:pPr>
              <w:spacing w:lineRule="auto" w:line="240" w:before="20" w:after="20"/>
            </w:pPr>
            <w:r/>
            <w:r>
              <w:rPr>
                <w:rFonts w:ascii="仿宋" w:hAnsi="仿宋" w:eastAsia="仿宋" w:cs="仿宋"/>
                <w:b w:val="0"/>
                <w:sz w:val="21"/>
              </w:rPr>
              <w:t>阮班健</w:t>
            </w:r>
          </w:p>
        </w:tc>
        <w:tc>
          <w:tcPr>
            <w:tcW w:type="dxa" w:w="2910"/>
          </w:tcPr>
          <w:p>
            <w:pPr>
              <w:spacing w:lineRule="auto" w:line="240" w:before="20" w:after="20"/>
            </w:pPr>
            <w:r/>
            <w:r>
              <w:rPr>
                <w:rFonts w:ascii="仿宋" w:hAnsi="仿宋" w:eastAsia="仿宋" w:cs="仿宋"/>
                <w:b/>
                <w:sz w:val="21"/>
              </w:rPr>
              <w:t>肖伟</w:t>
            </w:r>
          </w:p>
        </w:tc>
      </w:tr>
      <w:tr>
        <w:tc>
          <w:tcPr>
            <w:tcW w:type="dxa" w:w="2910"/>
          </w:tcPr>
          <w:p>
            <w:pPr>
              <w:spacing w:lineRule="auto" w:line="240" w:before="20" w:after="20"/>
            </w:pPr>
            <w:r/>
            <w:r>
              <w:rPr>
                <w:rFonts w:ascii="仿宋" w:hAnsi="仿宋" w:eastAsia="仿宋" w:cs="仿宋"/>
                <w:b w:val="0"/>
                <w:sz w:val="21"/>
              </w:rPr>
              <w:t>综合评分</w:t>
            </w:r>
          </w:p>
        </w:tc>
        <w:tc>
          <w:tcPr>
            <w:tcW w:type="dxa" w:w="2910"/>
          </w:tcPr>
          <w:p>
            <w:pPr>
              <w:spacing w:lineRule="auto" w:line="240" w:before="20" w:after="20"/>
            </w:pPr>
            <w:r/>
            <w:r>
              <w:rPr>
                <w:rFonts w:ascii="仿宋" w:hAnsi="仿宋" w:eastAsia="仿宋" w:cs="仿宋"/>
                <w:b w:val="0"/>
                <w:sz w:val="21"/>
              </w:rPr>
              <w:t>—</w:t>
            </w:r>
          </w:p>
        </w:tc>
        <w:tc>
          <w:tcPr>
            <w:tcW w:type="dxa" w:w="2910"/>
          </w:tcPr>
          <w:p>
            <w:pPr>
              <w:spacing w:lineRule="auto" w:line="240" w:before="20" w:after="20"/>
            </w:pPr>
            <w:r/>
            <w:r>
              <w:rPr>
                <w:rFonts w:ascii="仿宋" w:hAnsi="仿宋" w:eastAsia="仿宋" w:cs="仿宋"/>
                <w:b/>
                <w:sz w:val="21"/>
              </w:rPr>
              <w:t>91.4</w:t>
            </w:r>
          </w:p>
        </w:tc>
      </w:tr>
      <w:tr>
        <w:tc>
          <w:tcPr>
            <w:tcW w:type="dxa" w:w="2910"/>
          </w:tcPr>
          <w:p>
            <w:pPr>
              <w:spacing w:lineRule="auto" w:line="240" w:before="20" w:after="20"/>
            </w:pPr>
            <w:r/>
            <w:r>
              <w:rPr>
                <w:rFonts w:ascii="仿宋" w:hAnsi="仿宋" w:eastAsia="仿宋" w:cs="仿宋"/>
                <w:b w:val="0"/>
                <w:sz w:val="21"/>
              </w:rPr>
              <w:t>合同乙方负责人栏</w:t>
            </w:r>
          </w:p>
        </w:tc>
        <w:tc>
          <w:tcPr>
            <w:tcW w:type="dxa" w:w="2910"/>
          </w:tcPr>
          <w:p>
            <w:pPr>
              <w:spacing w:lineRule="auto" w:line="240" w:before="20" w:after="20"/>
            </w:pPr>
            <w:r/>
            <w:r>
              <w:rPr>
                <w:rFonts w:ascii="仿宋" w:hAnsi="仿宋" w:eastAsia="仿宋" w:cs="仿宋"/>
                <w:b w:val="0"/>
                <w:sz w:val="21"/>
              </w:rPr>
              <w:t>侯加海</w:t>
            </w:r>
          </w:p>
        </w:tc>
        <w:tc>
          <w:tcPr>
            <w:tcW w:type="dxa" w:w="2910"/>
          </w:tcPr>
          <w:p>
            <w:pPr>
              <w:spacing w:lineRule="auto" w:line="240" w:before="20" w:after="20"/>
            </w:pPr>
            <w:r/>
            <w:r>
              <w:rPr>
                <w:rFonts w:ascii="仿宋" w:hAnsi="仿宋" w:eastAsia="仿宋" w:cs="仿宋"/>
                <w:b w:val="0"/>
                <w:sz w:val="21"/>
              </w:rPr>
              <w:t>阮班健</w:t>
            </w:r>
          </w:p>
        </w:tc>
      </w:tr>
      <w:tr>
        <w:tc>
          <w:tcPr>
            <w:tcW w:type="dxa" w:w="2910"/>
          </w:tcPr>
          <w:p>
            <w:pPr>
              <w:spacing w:lineRule="auto" w:line="240" w:before="20" w:after="20"/>
            </w:pPr>
            <w:r/>
            <w:r>
              <w:rPr>
                <w:rFonts w:ascii="仿宋" w:hAnsi="仿宋" w:eastAsia="仿宋" w:cs="仿宋"/>
                <w:b w:val="0"/>
                <w:sz w:val="21"/>
              </w:rPr>
              <w:t>合同载明资质等级</w:t>
            </w:r>
          </w:p>
        </w:tc>
        <w:tc>
          <w:tcPr>
            <w:tcW w:type="dxa" w:w="2910"/>
          </w:tcPr>
          <w:p>
            <w:pPr>
              <w:spacing w:lineRule="auto" w:line="240" w:before="20" w:after="20"/>
            </w:pPr>
            <w:r/>
            <w:r>
              <w:rPr>
                <w:rFonts w:ascii="仿宋" w:hAnsi="仿宋" w:eastAsia="仿宋" w:cs="仿宋"/>
                <w:b w:val="0"/>
                <w:sz w:val="21"/>
              </w:rPr>
              <w:t>二级</w:t>
            </w:r>
          </w:p>
        </w:tc>
        <w:tc>
          <w:tcPr>
            <w:tcW w:type="dxa" w:w="2910"/>
          </w:tcPr>
          <w:p>
            <w:pPr>
              <w:spacing w:lineRule="auto" w:line="240" w:before="20" w:after="20"/>
            </w:pPr>
            <w:r/>
            <w:r>
              <w:rPr>
                <w:rFonts w:ascii="仿宋" w:hAnsi="仿宋" w:eastAsia="仿宋" w:cs="仿宋"/>
                <w:b w:val="0"/>
                <w:sz w:val="21"/>
              </w:rPr>
              <w:t>一级</w:t>
            </w:r>
          </w:p>
        </w:tc>
      </w:tr>
      <w:tr>
        <w:tc>
          <w:tcPr>
            <w:tcW w:type="dxa" w:w="2910"/>
          </w:tcPr>
          <w:p>
            <w:pPr>
              <w:spacing w:lineRule="auto" w:line="240" w:before="20" w:after="20"/>
            </w:pPr>
            <w:r/>
            <w:r>
              <w:rPr>
                <w:rFonts w:ascii="仿宋" w:hAnsi="仿宋" w:eastAsia="仿宋" w:cs="仿宋"/>
                <w:b w:val="0"/>
                <w:sz w:val="21"/>
              </w:rPr>
              <w:t>合同签订日期</w:t>
            </w:r>
          </w:p>
        </w:tc>
        <w:tc>
          <w:tcPr>
            <w:tcW w:type="dxa" w:w="2910"/>
          </w:tcPr>
          <w:p>
            <w:pPr>
              <w:spacing w:lineRule="auto" w:line="240" w:before="20" w:after="20"/>
            </w:pPr>
            <w:r/>
            <w:r>
              <w:rPr>
                <w:rFonts w:ascii="仿宋" w:hAnsi="仿宋" w:eastAsia="仿宋" w:cs="仿宋"/>
                <w:b w:val="0"/>
                <w:sz w:val="21"/>
              </w:rPr>
              <w:t>2014年6月16日</w:t>
            </w:r>
          </w:p>
        </w:tc>
        <w:tc>
          <w:tcPr>
            <w:tcW w:type="dxa" w:w="2910"/>
          </w:tcPr>
          <w:p>
            <w:pPr>
              <w:spacing w:lineRule="auto" w:line="240" w:before="20" w:after="20"/>
            </w:pPr>
            <w:r/>
            <w:r>
              <w:rPr>
                <w:rFonts w:ascii="仿宋" w:hAnsi="仿宋" w:eastAsia="仿宋" w:cs="仿宋"/>
                <w:b w:val="0"/>
                <w:sz w:val="21"/>
              </w:rPr>
              <w:t>5月31日／8月31日（未确定）</w:t>
            </w:r>
          </w:p>
        </w:tc>
      </w:tr>
      <w:tr>
        <w:tc>
          <w:tcPr>
            <w:tcW w:type="dxa" w:w="2910"/>
          </w:tcPr>
          <w:p>
            <w:pPr>
              <w:spacing w:lineRule="auto" w:line="240" w:before="20" w:after="20"/>
            </w:pPr>
            <w:r/>
            <w:r>
              <w:rPr>
                <w:rFonts w:ascii="仿宋" w:hAnsi="仿宋" w:eastAsia="仿宋" w:cs="仿宋"/>
                <w:b w:val="0"/>
                <w:sz w:val="21"/>
              </w:rPr>
              <w:t>合同载明面积</w:t>
            </w:r>
          </w:p>
        </w:tc>
        <w:tc>
          <w:tcPr>
            <w:tcW w:type="dxa" w:w="2910"/>
          </w:tcPr>
          <w:p>
            <w:pPr>
              <w:spacing w:lineRule="auto" w:line="240" w:before="20" w:after="20"/>
            </w:pPr>
            <w:r/>
            <w:r>
              <w:rPr>
                <w:rFonts w:ascii="仿宋" w:hAnsi="仿宋" w:eastAsia="仿宋" w:cs="仿宋"/>
                <w:b w:val="0"/>
                <w:sz w:val="21"/>
              </w:rPr>
              <w:t>94,153.03㎡</w:t>
            </w:r>
          </w:p>
        </w:tc>
        <w:tc>
          <w:tcPr>
            <w:tcW w:type="dxa" w:w="2910"/>
          </w:tcPr>
          <w:p>
            <w:pPr>
              <w:spacing w:lineRule="auto" w:line="240" w:before="20" w:after="20"/>
            </w:pPr>
            <w:r/>
            <w:r>
              <w:rPr>
                <w:rFonts w:ascii="仿宋" w:hAnsi="仿宋" w:eastAsia="仿宋" w:cs="仿宋"/>
                <w:b w:val="0"/>
                <w:sz w:val="21"/>
              </w:rPr>
              <w:t>234,602.58㎡</w:t>
            </w:r>
          </w:p>
        </w:tc>
      </w:tr>
    </w:tbl>
    <w:p/>
    <w:p>
      <w:pPr>
        <w:spacing w:lineRule="exact" w:line="560" w:before="40" w:after="40"/>
        <w:ind w:firstLine="600"/>
        <w:jc w:val="both"/>
      </w:pPr>
      <w:r>
        <w:rPr>
          <w:rFonts w:ascii="仿宋" w:hAnsi="仿宋" w:eastAsia="仿宋" w:cs="仿宋"/>
          <w:b/>
          <w:sz w:val="30"/>
        </w:rPr>
        <w:t>上表中王刚、林凤臣、肖伟、综合评分91.4等B、C区专属事实，原判"认定事实"部分无一字记载。</w:t>
      </w:r>
    </w:p>
    <w:p>
      <w:pPr>
        <w:spacing w:lineRule="exact" w:line="560" w:before="40" w:after="40"/>
        <w:ind w:firstLine="600"/>
        <w:jc w:val="both"/>
      </w:pPr>
      <w:r>
        <w:rPr>
          <w:rFonts w:ascii="仿宋" w:hAnsi="仿宋" w:eastAsia="仿宋" w:cs="仿宋"/>
          <w:b w:val="0"/>
          <w:sz w:val="30"/>
        </w:rPr>
        <w:t>原判"认定事实"六项中，第三项（赵力任职）与第四项（A区招投标备案表）</w:t>
      </w:r>
      <w:r>
        <w:rPr>
          <w:rFonts w:ascii="仿宋" w:hAnsi="仿宋" w:eastAsia="仿宋" w:cs="仿宋"/>
          <w:b/>
          <w:sz w:val="30"/>
        </w:rPr>
        <w:t>均为A区专属</w:t>
      </w:r>
      <w:r>
        <w:rPr>
          <w:rFonts w:ascii="仿宋" w:hAnsi="仿宋" w:eastAsia="仿宋" w:cs="仿宋"/>
          <w:b w:val="0"/>
          <w:sz w:val="30"/>
        </w:rPr>
        <w:t>；第二项关于B、C区仅有"2016年被告中铁置业公司与被告中铁建物业公司另行签订《长沙中国铁建山语城第三期B、C区前期物业服务合同》"一句；第五项"截至诉讼时已履约十余年"对B、C区合同</w:t>
      </w:r>
      <w:r>
        <w:rPr>
          <w:rFonts w:ascii="仿宋" w:hAnsi="仿宋" w:eastAsia="仿宋" w:cs="仿宋"/>
          <w:b/>
          <w:sz w:val="30"/>
        </w:rPr>
        <w:t>在事实上并不成立</w:t>
      </w:r>
      <w:r>
        <w:rPr>
          <w:rFonts w:ascii="仿宋" w:hAnsi="仿宋" w:eastAsia="仿宋" w:cs="仿宋"/>
          <w:b w:val="0"/>
          <w:sz w:val="30"/>
        </w:rPr>
        <w:t>（自2016年至判决日为3,605日或3,513日，均不满十年）。</w:t>
      </w:r>
    </w:p>
    <w:p>
      <w:pPr>
        <w:spacing w:lineRule="exact" w:line="560" w:before="40" w:after="40"/>
        <w:ind w:firstLine="600"/>
        <w:jc w:val="both"/>
      </w:pPr>
      <w:r>
        <w:rPr>
          <w:rFonts w:ascii="仿宋" w:hAnsi="仿宋" w:eastAsia="仿宋" w:cs="仿宋"/>
          <w:b w:val="0"/>
          <w:sz w:val="30"/>
        </w:rPr>
        <w:t>而原判第11页至第14页"本院认为"部分，统一以"涉案两份《前期物业服务合同》"为对象展开论证，其关于招投标合法性的核心论证，</w:t>
      </w:r>
      <w:r>
        <w:rPr>
          <w:rFonts w:ascii="仿宋" w:hAnsi="仿宋" w:eastAsia="仿宋" w:cs="仿宋"/>
          <w:b/>
          <w:sz w:val="30"/>
        </w:rPr>
        <w:t>全部事实素材来自A区</w:t>
      </w:r>
      <w:r>
        <w:rPr>
          <w:rFonts w:ascii="仿宋" w:hAnsi="仿宋" w:eastAsia="仿宋" w:cs="仿宋"/>
          <w:b w:val="0"/>
          <w:sz w:val="30"/>
        </w:rPr>
        <w:t>。若移出A区专属事实，该论证对B、C区合同将无任何支撑。</w:t>
      </w:r>
    </w:p>
    <w:p>
      <w:pPr>
        <w:spacing w:lineRule="exact" w:line="560" w:before="40" w:after="40"/>
        <w:ind w:firstLine="600"/>
        <w:jc w:val="both"/>
      </w:pPr>
      <w:r>
        <w:rPr>
          <w:rFonts w:ascii="仿宋" w:hAnsi="仿宋" w:eastAsia="仿宋" w:cs="仿宋"/>
          <w:b w:val="0"/>
          <w:sz w:val="30"/>
        </w:rPr>
        <w:t>决定B、C区合同效力的基本事实，至少包括九项：投标企业数量、资格审查、评标委员会组成、评分过程、中标通知书与合同的衔接、B、C区是否依法划定为独立物业管理区域、合同真实形成时间及文本、中标主体与签约主体的关系、总公司授权是否存在及其范围。</w:t>
      </w:r>
      <w:r>
        <w:rPr>
          <w:rFonts w:ascii="仿宋" w:hAnsi="仿宋" w:eastAsia="仿宋" w:cs="仿宋"/>
          <w:b/>
          <w:sz w:val="30"/>
        </w:rPr>
        <w:t>上述九项，原审一项未查。</w:t>
      </w:r>
    </w:p>
    <w:p>
      <w:pPr>
        <w:spacing w:lineRule="exact" w:line="560" w:before="40" w:after="40"/>
        <w:ind w:firstLine="600"/>
        <w:jc w:val="both"/>
      </w:pPr>
      <w:r>
        <w:rPr>
          <w:rFonts w:ascii="仿宋" w:hAnsi="仿宋" w:eastAsia="仿宋" w:cs="仿宋"/>
          <w:b/>
          <w:sz w:val="30"/>
        </w:rPr>
        <w:t>须特别说明的是：上诉人的房屋恰恰位于B、C区。原审未作任何事实认定的那一份合同，正是唯一直接约束上诉人的合同。</w:t>
      </w:r>
    </w:p>
    <w:p>
      <w:pPr>
        <w:spacing w:lineRule="exact" w:line="560" w:before="40" w:after="40"/>
        <w:ind w:firstLine="600"/>
        <w:jc w:val="both"/>
      </w:pPr>
      <w:r>
        <w:rPr>
          <w:rFonts w:ascii="仿宋" w:hAnsi="仿宋" w:eastAsia="仿宋" w:cs="仿宋"/>
          <w:b w:val="0"/>
          <w:sz w:val="30"/>
        </w:rPr>
        <w:t>上诉人同时明确：主文"驳回原告李国平的诉讼请求"一并覆盖两份合同，形式上并未遗漏诉讼请求，上诉人</w:t>
      </w:r>
      <w:r>
        <w:rPr>
          <w:rFonts w:ascii="仿宋" w:hAnsi="仿宋" w:eastAsia="仿宋" w:cs="仿宋"/>
          <w:b/>
          <w:sz w:val="30"/>
        </w:rPr>
        <w:t>不主张遗漏诉讼请求</w:t>
      </w:r>
      <w:r>
        <w:rPr>
          <w:rFonts w:ascii="仿宋" w:hAnsi="仿宋" w:eastAsia="仿宋" w:cs="仿宋"/>
          <w:b w:val="0"/>
          <w:sz w:val="30"/>
        </w:rPr>
        <w:t>。上诉人主张的是——</w:t>
      </w:r>
      <w:r>
        <w:rPr>
          <w:rFonts w:ascii="仿宋" w:hAnsi="仿宋" w:eastAsia="仿宋" w:cs="仿宋"/>
          <w:b/>
          <w:sz w:val="30"/>
        </w:rPr>
        <w:t>以一个诉讼标的的事实基础，覆盖了另一个诉讼标的</w:t>
      </w:r>
      <w:r>
        <w:rPr>
          <w:rFonts w:ascii="仿宋" w:hAnsi="仿宋" w:eastAsia="仿宋" w:cs="仿宋"/>
          <w:b w:val="0"/>
          <w:sz w:val="30"/>
        </w:rPr>
        <w:t>。</w:t>
      </w:r>
    </w:p>
    <w:p>
      <w:pPr>
        <w:spacing w:lineRule="exact" w:line="560" w:before="160" w:after="80"/>
      </w:pPr>
      <w:r>
        <w:rPr>
          <w:rFonts w:ascii="仿宋" w:hAnsi="仿宋" w:eastAsia="仿宋" w:cs="仿宋"/>
          <w:b/>
          <w:sz w:val="30"/>
        </w:rPr>
        <w:t>三、对已经庭审质证、上诉人已明确提出异议的B、C区招投标备案表，原判未作任何采信或排除的表述</w:t>
      </w:r>
    </w:p>
    <w:p>
      <w:pPr>
        <w:spacing w:lineRule="exact" w:line="560" w:before="40" w:after="40"/>
        <w:ind w:firstLine="600"/>
        <w:jc w:val="both"/>
      </w:pPr>
      <w:r>
        <w:rPr>
          <w:rFonts w:ascii="仿宋" w:hAnsi="仿宋" w:eastAsia="仿宋" w:cs="仿宋"/>
          <w:b w:val="0"/>
          <w:sz w:val="30"/>
        </w:rPr>
        <w:t>一审庭审笔录第2页记载，被上诉人二当庭提交"长沙市前期物业管理招投标备案表两份"；同笔录第3页记载上诉人的质证意见为"</w:t>
      </w:r>
      <w:r>
        <w:rPr>
          <w:rFonts w:ascii="仿宋" w:hAnsi="仿宋" w:eastAsia="仿宋" w:cs="仿宋"/>
          <w:b/>
          <w:sz w:val="30"/>
        </w:rPr>
        <w:t>对B、C区三性有异议</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而原判自始至终未提及该份B、C区备案表</w:t>
      </w:r>
      <w:r>
        <w:rPr>
          <w:rFonts w:ascii="仿宋" w:hAnsi="仿宋" w:eastAsia="仿宋" w:cs="仿宋"/>
          <w:b w:val="0"/>
          <w:sz w:val="30"/>
        </w:rPr>
        <w:t>——既未认定采信，亦未说明不予采信的理由，更未据以认定任何B、C区招投标事实。</w:t>
      </w:r>
    </w:p>
    <w:p>
      <w:pPr>
        <w:spacing w:lineRule="exact" w:line="560" w:before="40" w:after="40"/>
        <w:ind w:firstLine="600"/>
        <w:jc w:val="both"/>
      </w:pPr>
      <w:r>
        <w:rPr>
          <w:rFonts w:ascii="仿宋" w:hAnsi="仿宋" w:eastAsia="仿宋" w:cs="仿宋"/>
          <w:b w:val="0"/>
          <w:sz w:val="30"/>
        </w:rPr>
        <w:t>《中华人民共和国民事诉讼法》第六十七条第三款规定："人民法院应当按照法定程序，</w:t>
      </w:r>
      <w:r>
        <w:rPr>
          <w:rFonts w:ascii="仿宋" w:hAnsi="仿宋" w:eastAsia="仿宋" w:cs="仿宋"/>
          <w:b/>
          <w:sz w:val="30"/>
        </w:rPr>
        <w:t>全面地、客观地审查核实证据</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对一份已经进入庭审、且被当事人明确提出真实性、合法性、关联性异议的关键证据完全不置一词，</w:t>
      </w:r>
      <w:r>
        <w:rPr>
          <w:rFonts w:ascii="仿宋" w:hAnsi="仿宋" w:eastAsia="仿宋" w:cs="仿宋"/>
          <w:b/>
          <w:sz w:val="30"/>
        </w:rPr>
        <w:t>不属于说理不充分，而是审查义务的未履行</w:t>
      </w:r>
      <w:r>
        <w:rPr>
          <w:rFonts w:ascii="仿宋" w:hAnsi="仿宋" w:eastAsia="仿宋" w:cs="仿宋"/>
          <w:b w:val="0"/>
          <w:sz w:val="30"/>
        </w:rPr>
        <w:t>。</w:t>
      </w:r>
    </w:p>
    <w:p>
      <w:pPr>
        <w:spacing w:lineRule="exact" w:line="560" w:before="160" w:after="80"/>
      </w:pPr>
      <w:r>
        <w:rPr>
          <w:rFonts w:ascii="仿宋" w:hAnsi="仿宋" w:eastAsia="仿宋" w:cs="仿宋"/>
          <w:b/>
          <w:sz w:val="30"/>
        </w:rPr>
        <w:t>四、两次招投标的中标人均为总公司，而两份合同的乙方均为长沙分公司；授权系被上诉人主动主张的积极事实，原审从未查明</w:t>
      </w:r>
    </w:p>
    <w:p>
      <w:pPr>
        <w:spacing w:lineRule="exact" w:line="560" w:before="40" w:after="40"/>
        <w:ind w:firstLine="600"/>
        <w:jc w:val="both"/>
      </w:pPr>
      <w:r>
        <w:rPr>
          <w:rFonts w:ascii="仿宋" w:hAnsi="仿宋" w:eastAsia="仿宋" w:cs="仿宋"/>
          <w:b w:val="0"/>
          <w:sz w:val="30"/>
        </w:rPr>
        <w:t>案涉A区与B、C区招投标的中标人，均为</w:t>
      </w:r>
      <w:r>
        <w:rPr>
          <w:rFonts w:ascii="仿宋" w:hAnsi="仿宋" w:eastAsia="仿宋" w:cs="仿宋"/>
          <w:b/>
          <w:sz w:val="30"/>
        </w:rPr>
        <w:t>中铁建（北京）物业管理有限公司</w:t>
      </w:r>
      <w:r>
        <w:rPr>
          <w:rFonts w:ascii="仿宋" w:hAnsi="仿宋" w:eastAsia="仿宋" w:cs="仿宋"/>
          <w:b w:val="0"/>
          <w:sz w:val="30"/>
        </w:rPr>
        <w:t>（总公司）；而两份合同的乙方，均为其</w:t>
      </w:r>
      <w:r>
        <w:rPr>
          <w:rFonts w:ascii="仿宋" w:hAnsi="仿宋" w:eastAsia="仿宋" w:cs="仿宋"/>
          <w:b/>
          <w:sz w:val="30"/>
        </w:rPr>
        <w:t>长沙分公司</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被上诉人一在（2026）湘8601行初374号行政案件提交的书面《答辩意见》中，主动主张："中铁建物业管理有限公司中标后，授权签订合同并实际提供服务。"</w:t>
      </w:r>
    </w:p>
    <w:p>
      <w:pPr>
        <w:spacing w:lineRule="exact" w:line="560" w:before="40" w:after="40"/>
        <w:ind w:firstLine="600"/>
        <w:jc w:val="both"/>
      </w:pPr>
      <w:r>
        <w:rPr>
          <w:rFonts w:ascii="仿宋" w:hAnsi="仿宋" w:eastAsia="仿宋" w:cs="仿宋"/>
          <w:b w:val="0"/>
          <w:sz w:val="30"/>
        </w:rPr>
        <w:t>《中华人民共和国招标投标法》第四十六条第一款规定："招标人和中标人应当自中标通知书发出之日起三十日内，</w:t>
      </w:r>
      <w:r>
        <w:rPr>
          <w:rFonts w:ascii="仿宋" w:hAnsi="仿宋" w:eastAsia="仿宋" w:cs="仿宋"/>
          <w:b/>
          <w:sz w:val="30"/>
        </w:rPr>
        <w:t>按照招标文件和中标人的投标文件订立书面合同</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因此，授权是否存在、何时形成、授权对象为谁、是否覆盖山语城三期B、C区项目、是否允许分公司作为合同乙方签约，</w:t>
      </w:r>
      <w:r>
        <w:rPr>
          <w:rFonts w:ascii="仿宋" w:hAnsi="仿宋" w:eastAsia="仿宋" w:cs="仿宋"/>
          <w:b/>
          <w:sz w:val="30"/>
        </w:rPr>
        <w:t>直接决定合同是否依中标结果订立</w:t>
      </w:r>
      <w:r>
        <w:rPr>
          <w:rFonts w:ascii="仿宋" w:hAnsi="仿宋" w:eastAsia="仿宋" w:cs="仿宋"/>
          <w:b w:val="0"/>
          <w:sz w:val="30"/>
        </w:rPr>
        <w:t>，属合同主体形成的基本事实。</w:t>
      </w:r>
    </w:p>
    <w:p>
      <w:pPr>
        <w:spacing w:lineRule="exact" w:line="560" w:before="40" w:after="40"/>
        <w:ind w:firstLine="600"/>
        <w:jc w:val="both"/>
      </w:pPr>
      <w:r>
        <w:rPr>
          <w:rFonts w:ascii="仿宋" w:hAnsi="仿宋" w:eastAsia="仿宋" w:cs="仿宋"/>
          <w:b w:val="0"/>
          <w:sz w:val="30"/>
        </w:rPr>
        <w:t>原判第13页仅以《中华人民共和国民法典》第七十四条分支机构责任规则作答，回答的是"分公司能否以自己名义从事民事活动、责任由谁承担"，</w:t>
      </w:r>
      <w:r>
        <w:rPr>
          <w:rFonts w:ascii="仿宋" w:hAnsi="仿宋" w:eastAsia="仿宋" w:cs="仿宋"/>
          <w:b/>
          <w:sz w:val="30"/>
        </w:rPr>
        <w:t>与"合同是否按中标结果订立"是两个不同的问题</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授权既系被上诉人主动提出的积极事实，依"谁主张谁举证"，应由其举证；且该文件必在其控制之下。</w:t>
      </w:r>
      <w:r>
        <w:rPr>
          <w:rFonts w:ascii="仿宋" w:hAnsi="仿宋" w:eastAsia="仿宋" w:cs="仿宋"/>
          <w:b w:val="0"/>
          <w:sz w:val="30"/>
        </w:rPr>
        <w:t xml:space="preserve"> 上诉人恳请合议庭责令被上诉人提交；无正当理由拒不提交的，请依《最高人民法院关于民事诉讼证据的若干规定》第九十五条作出相应认定。</w:t>
      </w:r>
    </w:p>
    <w:p>
      <w:pPr>
        <w:spacing w:lineRule="exact" w:line="560" w:before="40" w:after="40"/>
        <w:ind w:firstLine="600"/>
        <w:jc w:val="both"/>
      </w:pPr>
      <w:r>
        <w:rPr>
          <w:rFonts w:ascii="仿宋" w:hAnsi="仿宋" w:eastAsia="仿宋" w:cs="仿宋"/>
          <w:b/>
          <w:sz w:val="30"/>
        </w:rPr>
        <w:t>上诉人在此明确：依《中华人民共和国公司法》第十四条，分公司不具有法人资格，与总公司系同一民事主体，故不构成《招标投标法》第四十八条所称"他人"，上诉人不主张第四十八条项下的中标项目转让。</w:t>
      </w:r>
      <w:r>
        <w:rPr>
          <w:rFonts w:ascii="仿宋" w:hAnsi="仿宋" w:eastAsia="仿宋" w:cs="仿宋"/>
          <w:b w:val="0"/>
          <w:sz w:val="30"/>
        </w:rPr>
        <w:t xml:space="preserve"> 上诉人主张的是第四十六条——合同是否与中标人、按中标结果订立。</w:t>
      </w:r>
    </w:p>
    <w:p>
      <w:pPr>
        <w:spacing w:lineRule="exact" w:line="560" w:before="160" w:after="80"/>
      </w:pPr>
      <w:r>
        <w:rPr>
          <w:rFonts w:ascii="仿宋" w:hAnsi="仿宋" w:eastAsia="仿宋" w:cs="仿宋"/>
          <w:b/>
          <w:sz w:val="30"/>
        </w:rPr>
        <w:t>五、B、C区合同同一编号项下存在两个签约日期，效力审查的对象文本尚未确定</w:t>
      </w:r>
    </w:p>
    <w:p>
      <w:pPr>
        <w:spacing w:lineRule="exact" w:line="560" w:before="40" w:after="40"/>
        <w:ind w:firstLine="600"/>
        <w:jc w:val="both"/>
      </w:pPr>
      <w:r>
        <w:rPr>
          <w:rFonts w:ascii="仿宋" w:hAnsi="仿宋" w:eastAsia="仿宋" w:cs="仿宋"/>
          <w:b w:val="0"/>
          <w:sz w:val="30"/>
        </w:rPr>
        <w:t>案涉B、C区合同的两份扉页，</w:t>
      </w:r>
      <w:r>
        <w:rPr>
          <w:rFonts w:ascii="仿宋" w:hAnsi="仿宋" w:eastAsia="仿宋" w:cs="仿宋"/>
          <w:b/>
          <w:sz w:val="30"/>
        </w:rPr>
        <w:t>合同编号完全相同：CRCC-CSZY-SYC-WY-2016-049</w:t>
      </w:r>
      <w:r>
        <w:rPr>
          <w:rFonts w:ascii="仿宋" w:hAnsi="仿宋" w:eastAsia="仿宋" w:cs="仿宋"/>
          <w:b w:val="0"/>
          <w:sz w:val="30"/>
        </w:rPr>
        <w:t>，印刷版式与当事人记载一致，但手写签约时间分别为</w:t>
      </w:r>
      <w:r>
        <w:rPr>
          <w:rFonts w:ascii="仿宋" w:hAnsi="仿宋" w:eastAsia="仿宋" w:cs="仿宋"/>
          <w:b/>
          <w:sz w:val="30"/>
        </w:rPr>
        <w:t>2016年5月31日</w:t>
      </w:r>
      <w:r>
        <w:rPr>
          <w:rFonts w:ascii="仿宋" w:hAnsi="仿宋" w:eastAsia="仿宋" w:cs="仿宋"/>
          <w:b w:val="0"/>
          <w:sz w:val="30"/>
        </w:rPr>
        <w:t>与</w:t>
      </w:r>
      <w:r>
        <w:rPr>
          <w:rFonts w:ascii="仿宋" w:hAnsi="仿宋" w:eastAsia="仿宋" w:cs="仿宋"/>
          <w:b/>
          <w:sz w:val="30"/>
        </w:rPr>
        <w:t>2016年8月31日</w:t>
      </w:r>
      <w:r>
        <w:rPr>
          <w:rFonts w:ascii="仿宋" w:hAnsi="仿宋" w:eastAsia="仿宋" w:cs="仿宋"/>
          <w:b w:val="0"/>
          <w:sz w:val="30"/>
        </w:rPr>
        <w:t>；其中5月31日版本</w:t>
      </w:r>
      <w:r>
        <w:rPr>
          <w:rFonts w:ascii="仿宋" w:hAnsi="仿宋" w:eastAsia="仿宋" w:cs="仿宋"/>
          <w:b/>
          <w:sz w:val="30"/>
        </w:rPr>
        <w:t>至今仅见扉页，未取得完整原本</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（2026）湘8601行初374号庭审笔录记载：行政机关称"备案资料显示是5月31日，</w:t>
      </w:r>
      <w:r>
        <w:rPr>
          <w:rFonts w:ascii="仿宋" w:hAnsi="仿宋" w:eastAsia="仿宋" w:cs="仿宋"/>
          <w:b/>
          <w:sz w:val="30"/>
        </w:rPr>
        <w:t>具体情况庭后核实并提交书面情况说明</w:t>
      </w:r>
      <w:r>
        <w:rPr>
          <w:rFonts w:ascii="仿宋" w:hAnsi="仿宋" w:eastAsia="仿宋" w:cs="仿宋"/>
          <w:b w:val="0"/>
          <w:sz w:val="30"/>
        </w:rPr>
        <w:t>"；另一行政机关称"封面应该是写到2016年的5月31，但是最后的签订日期是2016年的8月31日"。</w:t>
      </w:r>
    </w:p>
    <w:p>
      <w:pPr>
        <w:spacing w:lineRule="exact" w:line="560" w:before="40" w:after="40"/>
        <w:ind w:firstLine="600"/>
        <w:jc w:val="both"/>
      </w:pPr>
      <w:r>
        <w:rPr>
          <w:rFonts w:ascii="仿宋" w:hAnsi="仿宋" w:eastAsia="仿宋" w:cs="仿宋"/>
          <w:b/>
          <w:sz w:val="30"/>
        </w:rPr>
        <w:t>即：报送政府备案的版本与本案诉讼中提交的版本，签约日期并不一致。原判对此只字未提。</w:t>
      </w:r>
    </w:p>
    <w:p>
      <w:pPr>
        <w:spacing w:lineRule="exact" w:line="560" w:before="40" w:after="40"/>
        <w:ind w:firstLine="600"/>
        <w:jc w:val="both"/>
      </w:pPr>
      <w:r>
        <w:rPr>
          <w:rFonts w:ascii="仿宋" w:hAnsi="仿宋" w:eastAsia="仿宋" w:cs="仿宋"/>
          <w:b w:val="0"/>
          <w:sz w:val="30"/>
        </w:rPr>
        <w:t>确认合同无效之诉，必须首先确定</w:t>
      </w:r>
      <w:r>
        <w:rPr>
          <w:rFonts w:ascii="仿宋" w:hAnsi="仿宋" w:eastAsia="仿宋" w:cs="仿宋"/>
          <w:b/>
          <w:sz w:val="30"/>
        </w:rPr>
        <w:t>审查对象是哪一份文本、该文本何时成立</w:t>
      </w:r>
      <w:r>
        <w:rPr>
          <w:rFonts w:ascii="仿宋" w:hAnsi="仿宋" w:eastAsia="仿宋" w:cs="仿宋"/>
          <w:b w:val="0"/>
          <w:sz w:val="30"/>
        </w:rPr>
        <w:t>。此问题在逻辑上先于效力判断。</w:t>
      </w:r>
    </w:p>
    <w:p>
      <w:pPr>
        <w:spacing w:lineRule="exact" w:line="560" w:before="40" w:after="40"/>
        <w:ind w:firstLine="600"/>
        <w:jc w:val="both"/>
      </w:pPr>
      <w:r>
        <w:rPr>
          <w:rFonts w:ascii="仿宋" w:hAnsi="仿宋" w:eastAsia="仿宋" w:cs="仿宋"/>
          <w:b/>
          <w:sz w:val="30"/>
        </w:rPr>
        <w:t>上诉人在此明确：上诉人不主张伪造、变造或事后补制，仅主张该基本事实尚未查清，请求责令被上诉人提交两份完整原件由法庭核对，并说明报送备案的是哪一份。</w:t>
      </w:r>
    </w:p>
    <w:p>
      <w:pPr>
        <w:spacing w:lineRule="exact" w:line="560" w:before="160" w:after="80"/>
      </w:pPr>
      <w:r>
        <w:rPr>
          <w:rFonts w:ascii="仿宋" w:hAnsi="仿宋" w:eastAsia="仿宋" w:cs="仿宋"/>
          <w:b/>
          <w:sz w:val="30"/>
        </w:rPr>
        <w:t>六、A区与B、C区是否依法划分为独立的物业管理区域，系两次分别招标的共同前提事实，原审完全未审</w:t>
      </w:r>
    </w:p>
    <w:p>
      <w:pPr>
        <w:spacing w:lineRule="exact" w:line="560" w:before="40" w:after="40"/>
        <w:ind w:firstLine="600"/>
        <w:jc w:val="both"/>
      </w:pPr>
      <w:r>
        <w:rPr>
          <w:rFonts w:ascii="仿宋" w:hAnsi="仿宋" w:eastAsia="仿宋" w:cs="仿宋"/>
          <w:b w:val="0"/>
          <w:sz w:val="30"/>
        </w:rPr>
        <w:t>《湖南省实施〈物业管理条例〉办法》第五条、第六条规定，物业管理区域的划分应当考虑共用设施设备、建筑物规模、社区建设等因素；分期开发的，</w:t>
      </w:r>
      <w:r>
        <w:rPr>
          <w:rFonts w:ascii="仿宋" w:hAnsi="仿宋" w:eastAsia="仿宋" w:cs="仿宋"/>
          <w:b/>
          <w:sz w:val="30"/>
        </w:rPr>
        <w:t>可以</w:t>
      </w:r>
      <w:r>
        <w:rPr>
          <w:rFonts w:ascii="仿宋" w:hAnsi="仿宋" w:eastAsia="仿宋" w:cs="仿宋"/>
          <w:b w:val="0"/>
          <w:sz w:val="30"/>
        </w:rPr>
        <w:t>划分为一个或者多个物业管理区域。</w:t>
      </w:r>
    </w:p>
    <w:p>
      <w:pPr>
        <w:spacing w:lineRule="exact" w:line="560" w:before="40" w:after="40"/>
        <w:ind w:firstLine="600"/>
        <w:jc w:val="both"/>
      </w:pPr>
      <w:r>
        <w:rPr>
          <w:rFonts w:ascii="仿宋" w:hAnsi="仿宋" w:eastAsia="仿宋" w:cs="仿宋"/>
          <w:b/>
          <w:sz w:val="30"/>
        </w:rPr>
        <w:t>"可以"意味着划分须依法定程序作出并办理备案，而非随开发分期自动分割。</w:t>
      </w:r>
    </w:p>
    <w:p>
      <w:pPr>
        <w:spacing w:lineRule="exact" w:line="560" w:before="40" w:after="40"/>
        <w:ind w:firstLine="600"/>
        <w:jc w:val="both"/>
      </w:pPr>
      <w:r>
        <w:rPr>
          <w:rFonts w:ascii="仿宋" w:hAnsi="仿宋" w:eastAsia="仿宋" w:cs="仿宋"/>
          <w:b w:val="0"/>
          <w:sz w:val="30"/>
        </w:rPr>
        <w:t>本案卷内没有任何材料显示曾办理该项备案；（2026）湘8601行初374号行政案件中行政机关的全部举证，亦仅涉及前期物业服务合同备案，未涉及区域划分。</w:t>
      </w:r>
    </w:p>
    <w:p>
      <w:pPr>
        <w:spacing w:lineRule="exact" w:line="560" w:before="40" w:after="40"/>
        <w:ind w:firstLine="600"/>
        <w:jc w:val="both"/>
      </w:pPr>
      <w:r>
        <w:rPr>
          <w:rFonts w:ascii="仿宋" w:hAnsi="仿宋" w:eastAsia="仿宋" w:cs="仿宋"/>
          <w:b w:val="0"/>
          <w:sz w:val="30"/>
        </w:rPr>
        <w:t>该事实同时决定三项：上诉人对A区合同有无诉的利益；同一开发项目分两次招标有无区域基础；以及资质计算的口径。</w:t>
      </w:r>
    </w:p>
    <w:p>
      <w:pPr>
        <w:spacing w:lineRule="exact" w:line="560" w:before="40" w:after="40"/>
        <w:ind w:firstLine="600"/>
        <w:jc w:val="both"/>
      </w:pPr>
      <w:r>
        <w:rPr>
          <w:rFonts w:ascii="仿宋" w:hAnsi="仿宋" w:eastAsia="仿宋" w:cs="仿宋"/>
          <w:b w:val="0"/>
          <w:sz w:val="30"/>
        </w:rPr>
        <w:t>需一并说明：《湖南省实施〈物业管理条例〉办法》第十四条的计算单位是"</w:t>
      </w:r>
      <w:r>
        <w:rPr>
          <w:rFonts w:ascii="仿宋" w:hAnsi="仿宋" w:eastAsia="仿宋" w:cs="仿宋"/>
          <w:b/>
          <w:sz w:val="30"/>
        </w:rPr>
        <w:t>项目开发总建筑面积</w:t>
      </w:r>
      <w:r>
        <w:rPr>
          <w:rFonts w:ascii="仿宋" w:hAnsi="仿宋" w:eastAsia="仿宋" w:cs="仿宋"/>
          <w:b w:val="0"/>
          <w:sz w:val="30"/>
        </w:rPr>
        <w:t>"，</w:t>
      </w:r>
      <w:r>
        <w:rPr>
          <w:rFonts w:ascii="仿宋" w:hAnsi="仿宋" w:eastAsia="仿宋" w:cs="仿宋"/>
          <w:b/>
          <w:sz w:val="30"/>
        </w:rPr>
        <w:t>不以物业管理区域为单位</w:t>
      </w:r>
      <w:r>
        <w:rPr>
          <w:rFonts w:ascii="仿宋" w:hAnsi="仿宋" w:eastAsia="仿宋" w:cs="仿宋"/>
          <w:b w:val="0"/>
          <w:sz w:val="30"/>
        </w:rPr>
        <w:t>。故无论案涉项目被划分为一个还是多个物业管理区域，该条项下的资质计算均应按项目开发总建筑面积进行。</w:t>
      </w:r>
    </w:p>
    <w:p>
      <w:pPr>
        <w:spacing w:lineRule="exact" w:line="560" w:before="160" w:after="80"/>
      </w:pPr>
      <w:r>
        <w:rPr>
          <w:rFonts w:ascii="仿宋" w:hAnsi="仿宋" w:eastAsia="仿宋" w:cs="仿宋"/>
          <w:b/>
          <w:sz w:val="30"/>
        </w:rPr>
        <w:t>七、补正裁定改变项目总建筑面积这一事实前提后，原判关于资质的论证已丧失依据，且未予重建</w:t>
      </w:r>
    </w:p>
    <w:p>
      <w:pPr>
        <w:spacing w:lineRule="exact" w:line="560" w:before="40" w:after="40"/>
        <w:ind w:firstLine="600"/>
        <w:jc w:val="both"/>
      </w:pPr>
      <w:r>
        <w:rPr>
          <w:rFonts w:ascii="仿宋" w:hAnsi="仿宋" w:eastAsia="仿宋" w:cs="仿宋"/>
          <w:b w:val="0"/>
          <w:sz w:val="30"/>
        </w:rPr>
        <w:t>原判第9页认定"山语城三期小区总建筑面积30060.52平方米"。经核，30,060.52㎡系案涉项目</w:t>
      </w:r>
      <w:r>
        <w:rPr>
          <w:rFonts w:ascii="仿宋" w:hAnsi="仿宋" w:eastAsia="仿宋" w:cs="仿宋"/>
          <w:b/>
          <w:sz w:val="30"/>
        </w:rPr>
        <w:t>13号栋</w:t>
      </w:r>
      <w:r>
        <w:rPr>
          <w:rFonts w:ascii="仿宋" w:hAnsi="仿宋" w:eastAsia="仿宋" w:cs="仿宋"/>
          <w:b w:val="0"/>
          <w:sz w:val="30"/>
        </w:rPr>
        <w:t>2017年6月30日换发的《建设工程规划许可证》所载的</w:t>
      </w:r>
      <w:r>
        <w:rPr>
          <w:rFonts w:ascii="仿宋" w:hAnsi="仿宋" w:eastAsia="仿宋" w:cs="仿宋"/>
          <w:b/>
          <w:sz w:val="30"/>
        </w:rPr>
        <w:t>单体</w:t>
      </w:r>
      <w:r>
        <w:rPr>
          <w:rFonts w:ascii="仿宋" w:hAnsi="仿宋" w:eastAsia="仿宋" w:cs="仿宋"/>
          <w:b w:val="0"/>
          <w:sz w:val="30"/>
        </w:rPr>
        <w:t>建设规模，与原判所认定的数字</w:t>
      </w:r>
      <w:r>
        <w:rPr>
          <w:rFonts w:ascii="仿宋" w:hAnsi="仿宋" w:eastAsia="仿宋" w:cs="仿宋"/>
          <w:b/>
          <w:sz w:val="30"/>
        </w:rPr>
        <w:t>逐位相同</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补正裁定将该数字改为</w:t>
      </w:r>
      <w:r>
        <w:rPr>
          <w:rFonts w:ascii="仿宋" w:hAnsi="仿宋" w:eastAsia="仿宋" w:cs="仿宋"/>
          <w:b/>
          <w:sz w:val="30"/>
        </w:rPr>
        <w:t>329,304.21㎡</w:t>
      </w:r>
      <w:r>
        <w:rPr>
          <w:rFonts w:ascii="仿宋" w:hAnsi="仿宋" w:eastAsia="仿宋" w:cs="仿宋"/>
          <w:b w:val="0"/>
          <w:sz w:val="30"/>
        </w:rPr>
        <w:t>，前后相差299,243.69㎡，约10.95倍。</w:t>
      </w:r>
    </w:p>
    <w:p>
      <w:pPr>
        <w:spacing w:lineRule="exact" w:line="560" w:before="40" w:after="40"/>
        <w:ind w:firstLine="600"/>
        <w:jc w:val="both"/>
      </w:pPr>
      <w:r>
        <w:rPr>
          <w:rFonts w:ascii="仿宋" w:hAnsi="仿宋" w:eastAsia="仿宋" w:cs="仿宋"/>
          <w:b/>
          <w:sz w:val="30"/>
        </w:rPr>
        <w:t>关键在于：原判第14页关于资质的全部论证，是在"总建筑面积30,060.52平方米"这一前提下作出的。</w:t>
      </w:r>
      <w:r>
        <w:rPr>
          <w:rFonts w:ascii="仿宋" w:hAnsi="仿宋" w:eastAsia="仿宋" w:cs="仿宋"/>
          <w:b w:val="0"/>
          <w:sz w:val="30"/>
        </w:rPr>
        <w:t xml:space="preserve"> 在3万余平方米的前提下，二级资质（依行为时《物业服务企业资质管理办法》第八条可承接30万平方米以下住宅项目）是否足以承接，根本不构成问题，法院无须回答，故其只回答了"分公司能否使用总公司资质签约"这一签约主体问题。</w:t>
      </w:r>
    </w:p>
    <w:p>
      <w:pPr>
        <w:spacing w:lineRule="exact" w:line="560" w:before="40" w:after="40"/>
        <w:ind w:firstLine="600"/>
        <w:jc w:val="both"/>
      </w:pPr>
      <w:r>
        <w:rPr>
          <w:rFonts w:ascii="仿宋" w:hAnsi="仿宋" w:eastAsia="仿宋" w:cs="仿宋"/>
          <w:b/>
          <w:sz w:val="30"/>
        </w:rPr>
        <w:t>补正将面积改为329,304.21平方米、越过30万平方米门槛之后，"资质等级是否足以承接本项目"由一个无须回答的问题，变成了一个必须回答的问题；而补正裁定只改动了数字，未也不可能重新作出实体评价。</w:t>
      </w:r>
    </w:p>
    <w:p>
      <w:pPr>
        <w:spacing w:lineRule="exact" w:line="560" w:before="40" w:after="40"/>
        <w:ind w:firstLine="600"/>
        <w:jc w:val="both"/>
      </w:pPr>
      <w:r>
        <w:rPr>
          <w:rFonts w:ascii="仿宋" w:hAnsi="仿宋" w:eastAsia="仿宋" w:cs="仿宋"/>
          <w:b w:val="0"/>
          <w:sz w:val="30"/>
        </w:rPr>
        <w:t>其结果是：原判"不存在资质瑕疵"这一结论，</w:t>
      </w:r>
      <w:r>
        <w:rPr>
          <w:rFonts w:ascii="仿宋" w:hAnsi="仿宋" w:eastAsia="仿宋" w:cs="仿宋"/>
          <w:b/>
          <w:sz w:val="30"/>
        </w:rPr>
        <w:t>在补正之后已经丧失其所依据的事实前提</w:t>
      </w:r>
      <w:r>
        <w:rPr>
          <w:rFonts w:ascii="仿宋" w:hAnsi="仿宋" w:eastAsia="仿宋" w:cs="仿宋"/>
          <w:b w:val="0"/>
          <w:sz w:val="30"/>
        </w:rPr>
        <w:t>。二审若欲维持，须自行首次作出该项论证——而这已超出《民诉法解释》第三百三十二条"纠正瑕疵"的范围。</w:t>
      </w:r>
    </w:p>
    <w:p>
      <w:pPr>
        <w:spacing w:lineRule="exact" w:line="560" w:before="40" w:after="40"/>
        <w:ind w:firstLine="600"/>
        <w:jc w:val="both"/>
      </w:pPr>
      <w:r>
        <w:rPr>
          <w:rFonts w:ascii="仿宋" w:hAnsi="仿宋" w:eastAsia="仿宋" w:cs="仿宋"/>
          <w:b w:val="0"/>
          <w:sz w:val="30"/>
        </w:rPr>
        <w:t>另需说明，补正裁定除"存在笔误，应予以补正"一句外，</w:t>
      </w:r>
      <w:r>
        <w:rPr>
          <w:rFonts w:ascii="仿宋" w:hAnsi="仿宋" w:eastAsia="仿宋" w:cs="仿宋"/>
          <w:b/>
          <w:sz w:val="30"/>
        </w:rPr>
        <w:t>未载明任何理由或数据来源</w:t>
      </w:r>
      <w:r>
        <w:rPr>
          <w:rFonts w:ascii="仿宋" w:hAnsi="仿宋" w:eastAsia="仿宋" w:cs="仿宋"/>
          <w:b w:val="0"/>
          <w:sz w:val="30"/>
        </w:rPr>
        <w:t>，与《中华人民共和国民事诉讼法》第一百五十七条第三款"裁定书应当写明裁定结果和作出该裁定的理由"的要求不符。</w:t>
      </w:r>
    </w:p>
    <w:p>
      <w:pPr>
        <w:spacing w:lineRule="exact" w:line="560" w:before="160" w:after="80"/>
      </w:pPr>
      <w:r>
        <w:rPr>
          <w:rFonts w:ascii="仿宋" w:hAnsi="仿宋" w:eastAsia="仿宋" w:cs="仿宋"/>
          <w:b/>
          <w:sz w:val="30"/>
        </w:rPr>
        <w:t>八、原判就"是否存在对法律、行政法规强制性规定的违反"这一效力判断的前置问题，作出了三处互不相容的表态，且从未确定采用哪一种</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910"/>
        <w:gridCol w:w="2910"/>
        <w:gridCol w:w="2910"/>
      </w:tblGrid>
      <w:tr>
        <w:tc>
          <w:tcPr>
            <w:tcW w:type="dxa" w:w="2910"/>
          </w:tcPr>
          <w:p>
            <w:pPr>
              <w:spacing w:lineRule="auto" w:line="240" w:before="20" w:after="20"/>
            </w:pPr>
            <w:r/>
            <w:r>
              <w:rPr>
                <w:rFonts w:ascii="仿宋" w:hAnsi="仿宋" w:eastAsia="仿宋" w:cs="仿宋"/>
                <w:b/>
                <w:sz w:val="21"/>
              </w:rPr>
              <w:t>位置</w:t>
            </w:r>
          </w:p>
        </w:tc>
        <w:tc>
          <w:tcPr>
            <w:tcW w:type="dxa" w:w="2910"/>
          </w:tcPr>
          <w:p>
            <w:pPr>
              <w:spacing w:lineRule="auto" w:line="240" w:before="20" w:after="20"/>
            </w:pPr>
            <w:r/>
            <w:r>
              <w:rPr>
                <w:rFonts w:ascii="仿宋" w:hAnsi="仿宋" w:eastAsia="仿宋" w:cs="仿宋"/>
                <w:b/>
                <w:sz w:val="21"/>
              </w:rPr>
              <w:t>原文</w:t>
            </w:r>
          </w:p>
        </w:tc>
        <w:tc>
          <w:tcPr>
            <w:tcW w:type="dxa" w:w="2910"/>
          </w:tcPr>
          <w:p>
            <w:pPr>
              <w:spacing w:lineRule="auto" w:line="240" w:before="20" w:after="20"/>
            </w:pPr>
            <w:r/>
            <w:r>
              <w:rPr>
                <w:rFonts w:ascii="仿宋" w:hAnsi="仿宋" w:eastAsia="仿宋" w:cs="仿宋"/>
                <w:b/>
                <w:sz w:val="21"/>
              </w:rPr>
              <w:t>含义</w:t>
            </w:r>
          </w:p>
        </w:tc>
      </w:tr>
      <w:tr>
        <w:tc>
          <w:tcPr>
            <w:tcW w:type="dxa" w:w="2910"/>
          </w:tcPr>
          <w:p>
            <w:pPr>
              <w:spacing w:lineRule="auto" w:line="240" w:before="20" w:after="20"/>
            </w:pPr>
            <w:r/>
            <w:r>
              <w:rPr>
                <w:rFonts w:ascii="仿宋" w:hAnsi="仿宋" w:eastAsia="仿宋" w:cs="仿宋"/>
                <w:b w:val="0"/>
                <w:sz w:val="21"/>
              </w:rPr>
              <w:t>第11—12页</w:t>
            </w:r>
          </w:p>
        </w:tc>
        <w:tc>
          <w:tcPr>
            <w:tcW w:type="dxa" w:w="2910"/>
          </w:tcPr>
          <w:p>
            <w:pPr>
              <w:spacing w:lineRule="auto" w:line="240" w:before="20" w:after="20"/>
            </w:pPr>
            <w:r/>
            <w:r>
              <w:rPr>
                <w:rFonts w:ascii="仿宋" w:hAnsi="仿宋" w:eastAsia="仿宋" w:cs="仿宋"/>
                <w:b w:val="0"/>
                <w:sz w:val="21"/>
              </w:rPr>
              <w:t>"案涉项目非法定必须招标项目，不适用《中华人民共和国招标投标法》效力性强制性规定……故招投标程序瑕疵不适用《招标投标法》效力性强制性规定"</w:t>
            </w:r>
          </w:p>
        </w:tc>
        <w:tc>
          <w:tcPr>
            <w:tcW w:type="dxa" w:w="2910"/>
          </w:tcPr>
          <w:p>
            <w:pPr>
              <w:spacing w:lineRule="auto" w:line="240" w:before="20" w:after="20"/>
            </w:pPr>
            <w:r/>
            <w:r>
              <w:rPr>
                <w:rFonts w:ascii="仿宋" w:hAnsi="仿宋" w:eastAsia="仿宋" w:cs="仿宋"/>
                <w:b w:val="0"/>
                <w:sz w:val="21"/>
              </w:rPr>
              <w:t>不存在可被违反的强制性规定</w:t>
            </w:r>
          </w:p>
        </w:tc>
      </w:tr>
      <w:tr>
        <w:tc>
          <w:tcPr>
            <w:tcW w:type="dxa" w:w="2910"/>
          </w:tcPr>
          <w:p>
            <w:pPr>
              <w:spacing w:lineRule="auto" w:line="240" w:before="20" w:after="20"/>
            </w:pPr>
            <w:r/>
            <w:r>
              <w:rPr>
                <w:rFonts w:ascii="仿宋" w:hAnsi="仿宋" w:eastAsia="仿宋" w:cs="仿宋"/>
                <w:b w:val="0"/>
                <w:sz w:val="21"/>
              </w:rPr>
              <w:t>第13页</w:t>
            </w:r>
          </w:p>
        </w:tc>
        <w:tc>
          <w:tcPr>
            <w:tcW w:type="dxa" w:w="2910"/>
          </w:tcPr>
          <w:p>
            <w:pPr>
              <w:spacing w:lineRule="auto" w:line="240" w:before="20" w:after="20"/>
            </w:pPr>
            <w:r/>
            <w:r>
              <w:rPr>
                <w:rFonts w:ascii="仿宋" w:hAnsi="仿宋" w:eastAsia="仿宋" w:cs="仿宋"/>
                <w:b w:val="0"/>
                <w:sz w:val="21"/>
              </w:rPr>
              <w:t>援引《合同编通则解释》第十六条，认定合同"不因违反强制性规定无效"</w:t>
            </w:r>
          </w:p>
        </w:tc>
        <w:tc>
          <w:tcPr>
            <w:tcW w:type="dxa" w:w="2910"/>
          </w:tcPr>
          <w:p>
            <w:pPr>
              <w:spacing w:lineRule="auto" w:line="240" w:before="20" w:after="20"/>
            </w:pPr>
            <w:r/>
            <w:r>
              <w:rPr>
                <w:rFonts w:ascii="仿宋" w:hAnsi="仿宋" w:eastAsia="仿宋" w:cs="仿宋"/>
                <w:b w:val="0"/>
                <w:sz w:val="21"/>
              </w:rPr>
              <w:t>该条第一款以"合同违反法律、行政法规的强制性规定"为适用前提，故此处以存在违反为前提</w:t>
            </w:r>
          </w:p>
        </w:tc>
      </w:tr>
      <w:tr>
        <w:tc>
          <w:tcPr>
            <w:tcW w:type="dxa" w:w="2910"/>
          </w:tcPr>
          <w:p>
            <w:pPr>
              <w:spacing w:lineRule="auto" w:line="240" w:before="20" w:after="20"/>
            </w:pPr>
            <w:r/>
            <w:r>
              <w:rPr>
                <w:rFonts w:ascii="仿宋" w:hAnsi="仿宋" w:eastAsia="仿宋" w:cs="仿宋"/>
                <w:b w:val="0"/>
                <w:sz w:val="21"/>
              </w:rPr>
              <w:t>第14页</w:t>
            </w:r>
          </w:p>
        </w:tc>
        <w:tc>
          <w:tcPr>
            <w:tcW w:type="dxa" w:w="2910"/>
          </w:tcPr>
          <w:p>
            <w:pPr>
              <w:spacing w:lineRule="auto" w:line="240" w:before="20" w:after="20"/>
            </w:pPr>
            <w:r/>
            <w:r>
              <w:rPr>
                <w:rFonts w:ascii="仿宋" w:hAnsi="仿宋" w:eastAsia="仿宋" w:cs="仿宋"/>
                <w:b w:val="0"/>
                <w:sz w:val="21"/>
              </w:rPr>
              <w:t>"本案纠纷起因于被告在招投标程序中</w:t>
            </w:r>
            <w:r>
              <w:rPr>
                <w:rFonts w:ascii="仿宋" w:hAnsi="仿宋" w:eastAsia="仿宋" w:cs="仿宋"/>
                <w:b/>
                <w:sz w:val="21"/>
              </w:rPr>
              <w:t>未严格遵守法律规定</w:t>
            </w:r>
            <w:r>
              <w:rPr>
                <w:rFonts w:ascii="仿宋" w:hAnsi="仿宋" w:eastAsia="仿宋" w:cs="仿宋"/>
                <w:b w:val="0"/>
                <w:sz w:val="21"/>
              </w:rPr>
              <w:t>，原告为维护自身及小区共有权益提起诉讼，主观上无过错"，并据此突破败诉方负担规则，判令诉讼费由二被上诉人负担</w:t>
            </w:r>
          </w:p>
        </w:tc>
        <w:tc>
          <w:tcPr>
            <w:tcW w:type="dxa" w:w="2910"/>
          </w:tcPr>
          <w:p>
            <w:pPr>
              <w:spacing w:lineRule="auto" w:line="240" w:before="20" w:after="20"/>
            </w:pPr>
            <w:r/>
            <w:r>
              <w:rPr>
                <w:rFonts w:ascii="仿宋" w:hAnsi="仿宋" w:eastAsia="仿宋" w:cs="仿宋"/>
                <w:b w:val="0"/>
                <w:sz w:val="21"/>
              </w:rPr>
              <w:t>被上诉人确有违反法律规定的行为</w:t>
            </w:r>
          </w:p>
        </w:tc>
      </w:tr>
    </w:tbl>
    <w:p/>
    <w:p>
      <w:pPr>
        <w:spacing w:lineRule="exact" w:line="560" w:before="40" w:after="40"/>
        <w:ind w:firstLine="600"/>
        <w:jc w:val="both"/>
      </w:pPr>
      <w:r>
        <w:rPr>
          <w:rFonts w:ascii="仿宋" w:hAnsi="仿宋" w:eastAsia="仿宋" w:cs="仿宋"/>
          <w:b w:val="0"/>
          <w:sz w:val="30"/>
        </w:rPr>
        <w:t>合同效力的判断分两步：第一步，是否存在对法律、行政法规强制性规定的违反；第二步，该违反是否导致合同无效。第二步以第一步为前提。</w:t>
      </w:r>
      <w:r>
        <w:rPr>
          <w:rFonts w:ascii="仿宋" w:hAnsi="仿宋" w:eastAsia="仿宋" w:cs="仿宋"/>
          <w:b/>
          <w:sz w:val="30"/>
        </w:rPr>
        <w:t>而原判在第一步上给出了三个互不相容的答案，并且从未确定采用哪一个。</w:t>
      </w:r>
    </w:p>
    <w:p>
      <w:pPr>
        <w:spacing w:lineRule="exact" w:line="560" w:before="40" w:after="40"/>
        <w:ind w:firstLine="600"/>
        <w:jc w:val="both"/>
      </w:pPr>
      <w:r>
        <w:rPr>
          <w:rFonts w:ascii="仿宋" w:hAnsi="仿宋" w:eastAsia="仿宋" w:cs="仿宋"/>
          <w:b w:val="0"/>
          <w:sz w:val="30"/>
        </w:rPr>
        <w:t>需特别指出：</w:t>
      </w:r>
      <w:r>
        <w:rPr>
          <w:rFonts w:ascii="仿宋" w:hAnsi="仿宋" w:eastAsia="仿宋" w:cs="仿宋"/>
          <w:b/>
          <w:sz w:val="30"/>
        </w:rPr>
        <w:t>若第14页所称"未严格遵守法律规定"仅指一般性程序不规范，则不足以突破败诉方承担诉讼费的一般规则；原判既已突破该规则，即说明其所认定的违法程度并非无足轻重。</w:t>
      </w:r>
    </w:p>
    <w:p>
      <w:pPr>
        <w:spacing w:lineRule="exact" w:line="560" w:before="160" w:after="80"/>
      </w:pPr>
      <w:r>
        <w:rPr>
          <w:rFonts w:ascii="仿宋" w:hAnsi="仿宋" w:eastAsia="仿宋" w:cs="仿宋"/>
          <w:b/>
          <w:sz w:val="30"/>
        </w:rPr>
        <w:t>九、（备位）原判对《招标投标法实施条例》第三十四条的条款选择与证明标准，均有错误</w:t>
      </w:r>
    </w:p>
    <w:p>
      <w:pPr>
        <w:spacing w:lineRule="exact" w:line="560" w:before="40" w:after="40"/>
        <w:ind w:firstLine="600"/>
        <w:jc w:val="both"/>
      </w:pPr>
      <w:r>
        <w:rPr>
          <w:rFonts w:ascii="仿宋" w:hAnsi="仿宋" w:eastAsia="仿宋" w:cs="仿宋"/>
          <w:b w:val="0"/>
          <w:sz w:val="30"/>
        </w:rPr>
        <w:t>《招标投标法实施条例》第三十四条：</w:t>
      </w:r>
      <w:r>
        <w:rPr>
          <w:rFonts w:ascii="仿宋" w:hAnsi="仿宋" w:eastAsia="仿宋" w:cs="仿宋"/>
          <w:b/>
          <w:sz w:val="30"/>
        </w:rPr>
        <w:t>第一款</w:t>
      </w:r>
      <w:r>
        <w:rPr>
          <w:rFonts w:ascii="仿宋" w:hAnsi="仿宋" w:eastAsia="仿宋" w:cs="仿宋"/>
          <w:b w:val="0"/>
          <w:sz w:val="30"/>
        </w:rPr>
        <w:t>规制</w:t>
      </w:r>
      <w:r>
        <w:rPr>
          <w:rFonts w:ascii="仿宋" w:hAnsi="仿宋" w:eastAsia="仿宋" w:cs="仿宋"/>
          <w:b/>
          <w:sz w:val="30"/>
        </w:rPr>
        <w:t>招标人与投标人之间</w:t>
      </w:r>
      <w:r>
        <w:rPr>
          <w:rFonts w:ascii="仿宋" w:hAnsi="仿宋" w:eastAsia="仿宋" w:cs="仿宋"/>
          <w:b w:val="0"/>
          <w:sz w:val="30"/>
        </w:rPr>
        <w:t>的纵向利害关系；</w:t>
      </w:r>
      <w:r>
        <w:rPr>
          <w:rFonts w:ascii="仿宋" w:hAnsi="仿宋" w:eastAsia="仿宋" w:cs="仿宋"/>
          <w:b/>
          <w:sz w:val="30"/>
        </w:rPr>
        <w:t>第二款</w:t>
      </w:r>
      <w:r>
        <w:rPr>
          <w:rFonts w:ascii="仿宋" w:hAnsi="仿宋" w:eastAsia="仿宋" w:cs="仿宋"/>
          <w:b w:val="0"/>
          <w:sz w:val="30"/>
        </w:rPr>
        <w:t>规制</w:t>
      </w:r>
      <w:r>
        <w:rPr>
          <w:rFonts w:ascii="仿宋" w:hAnsi="仿宋" w:eastAsia="仿宋" w:cs="仿宋"/>
          <w:b/>
          <w:sz w:val="30"/>
        </w:rPr>
        <w:t>不同投标人之间</w:t>
      </w:r>
      <w:r>
        <w:rPr>
          <w:rFonts w:ascii="仿宋" w:hAnsi="仿宋" w:eastAsia="仿宋" w:cs="仿宋"/>
          <w:b w:val="0"/>
          <w:sz w:val="30"/>
        </w:rPr>
        <w:t>的横向关联；</w:t>
      </w:r>
      <w:r>
        <w:rPr>
          <w:rFonts w:ascii="仿宋" w:hAnsi="仿宋" w:eastAsia="仿宋" w:cs="仿宋"/>
          <w:b/>
          <w:sz w:val="30"/>
        </w:rPr>
        <w:t>第三款</w:t>
      </w:r>
      <w:r>
        <w:rPr>
          <w:rFonts w:ascii="仿宋" w:hAnsi="仿宋" w:eastAsia="仿宋" w:cs="仿宋"/>
          <w:b w:val="0"/>
          <w:sz w:val="30"/>
        </w:rPr>
        <w:t>规定"违反前两款规定的，</w:t>
      </w:r>
      <w:r>
        <w:rPr>
          <w:rFonts w:ascii="仿宋" w:hAnsi="仿宋" w:eastAsia="仿宋" w:cs="仿宋"/>
          <w:b/>
          <w:sz w:val="30"/>
        </w:rPr>
        <w:t>相关投标均无效</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原判第12页至第13页引用的文字，全部出自</w:t>
      </w:r>
      <w:r>
        <w:rPr>
          <w:rFonts w:ascii="仿宋" w:hAnsi="仿宋" w:eastAsia="仿宋" w:cs="仿宋"/>
          <w:b/>
          <w:sz w:val="30"/>
        </w:rPr>
        <w:t>第二款</w:t>
      </w:r>
      <w:r>
        <w:rPr>
          <w:rFonts w:ascii="仿宋" w:hAnsi="仿宋" w:eastAsia="仿宋" w:cs="仿宋"/>
          <w:b w:val="0"/>
          <w:sz w:val="30"/>
        </w:rPr>
        <w:t>（"单位负责人为同一人或者存在控股、管理关系的不同单位，不得参加同一标段投标或者未划分标段的同一招标项目投标"），要求的构成要件是"参加同一招标项目投标"。</w:t>
      </w:r>
    </w:p>
    <w:p>
      <w:pPr>
        <w:spacing w:lineRule="exact" w:line="560" w:before="40" w:after="40"/>
        <w:ind w:firstLine="600"/>
        <w:jc w:val="both"/>
      </w:pPr>
      <w:r>
        <w:rPr>
          <w:rFonts w:ascii="仿宋" w:hAnsi="仿宋" w:eastAsia="仿宋" w:cs="仿宋"/>
          <w:b/>
          <w:sz w:val="30"/>
        </w:rPr>
        <w:t>而上诉人在一审庭审辩论中援引的是第一款</w:t>
      </w:r>
      <w:r>
        <w:rPr>
          <w:rFonts w:ascii="仿宋" w:hAnsi="仿宋" w:eastAsia="仿宋" w:cs="仿宋"/>
          <w:b w:val="0"/>
          <w:sz w:val="30"/>
        </w:rPr>
        <w:t>——一审庭审笔录第4页记载其表述为"与招标人存在利害关系，可能影响招标公正性的法人不得参加投标"。</w:t>
      </w:r>
      <w:r>
        <w:rPr>
          <w:rFonts w:ascii="仿宋" w:hAnsi="仿宋" w:eastAsia="仿宋" w:cs="仿宋"/>
          <w:b/>
          <w:sz w:val="30"/>
        </w:rPr>
        <w:t>条款选择的错误，系原审自身的选择，不能归因于当事人主张不明。</w:t>
      </w:r>
    </w:p>
    <w:p>
      <w:pPr>
        <w:spacing w:lineRule="exact" w:line="560" w:before="40" w:after="40"/>
        <w:ind w:firstLine="600"/>
        <w:jc w:val="both"/>
      </w:pPr>
      <w:r>
        <w:rPr>
          <w:rFonts w:ascii="仿宋" w:hAnsi="仿宋" w:eastAsia="仿宋" w:cs="仿宋"/>
          <w:b w:val="0"/>
          <w:sz w:val="30"/>
        </w:rPr>
        <w:t>同时，第一款的法定标准是"</w:t>
      </w:r>
      <w:r>
        <w:rPr>
          <w:rFonts w:ascii="仿宋" w:hAnsi="仿宋" w:eastAsia="仿宋" w:cs="仿宋"/>
          <w:b/>
          <w:sz w:val="30"/>
        </w:rPr>
        <w:t>可能</w:t>
      </w:r>
      <w:r>
        <w:rPr>
          <w:rFonts w:ascii="仿宋" w:hAnsi="仿宋" w:eastAsia="仿宋" w:cs="仿宋"/>
          <w:b w:val="0"/>
          <w:sz w:val="30"/>
        </w:rPr>
        <w:t>影响招标公正性"（风险要件），原判要求证明"对招投标结果产生</w:t>
      </w:r>
      <w:r>
        <w:rPr>
          <w:rFonts w:ascii="仿宋" w:hAnsi="仿宋" w:eastAsia="仿宋" w:cs="仿宋"/>
          <w:b/>
          <w:sz w:val="30"/>
        </w:rPr>
        <w:t>实质性影响</w:t>
      </w:r>
      <w:r>
        <w:rPr>
          <w:rFonts w:ascii="仿宋" w:hAnsi="仿宋" w:eastAsia="仿宋" w:cs="仿宋"/>
          <w:b w:val="0"/>
          <w:sz w:val="30"/>
        </w:rPr>
        <w:t>"（结果要件）。</w:t>
      </w:r>
      <w:r>
        <w:rPr>
          <w:rFonts w:ascii="仿宋" w:hAnsi="仿宋" w:eastAsia="仿宋" w:cs="仿宋"/>
          <w:b/>
          <w:sz w:val="30"/>
        </w:rPr>
        <w:t>二者是性质差别而非程度差别</w:t>
      </w:r>
      <w:r>
        <w:rPr>
          <w:rFonts w:ascii="仿宋" w:hAnsi="仿宋" w:eastAsia="仿宋" w:cs="仿宋"/>
          <w:b w:val="0"/>
          <w:sz w:val="30"/>
        </w:rPr>
        <w:t>——后一标准使第一款在任何案件中都难以适用，因为招投标的内部过程从不掌握在业主手中。</w:t>
      </w:r>
    </w:p>
    <w:p>
      <w:pPr>
        <w:spacing w:lineRule="exact" w:line="560" w:before="40" w:after="40"/>
        <w:ind w:firstLine="600"/>
        <w:jc w:val="both"/>
      </w:pPr>
      <w:r>
        <w:rPr>
          <w:rFonts w:ascii="仿宋" w:hAnsi="仿宋" w:eastAsia="仿宋" w:cs="仿宋"/>
          <w:b w:val="0"/>
          <w:sz w:val="30"/>
        </w:rPr>
        <w:t>而第一款的要件事实，</w:t>
      </w:r>
      <w:r>
        <w:rPr>
          <w:rFonts w:ascii="仿宋" w:hAnsi="仿宋" w:eastAsia="仿宋" w:cs="仿宋"/>
          <w:b/>
          <w:sz w:val="30"/>
        </w:rPr>
        <w:t>已由原判自身认定</w:t>
      </w:r>
      <w:r>
        <w:rPr>
          <w:rFonts w:ascii="仿宋" w:hAnsi="仿宋" w:eastAsia="仿宋" w:cs="仿宋"/>
          <w:b w:val="0"/>
          <w:sz w:val="30"/>
        </w:rPr>
        <w:t>：赵力于2012年1月31日至2015年3月27日任招标人法定代表人（原判第9页）；A区招投标备案表载明中标企业</w:t>
      </w:r>
      <w:r>
        <w:rPr>
          <w:rFonts w:ascii="仿宋" w:hAnsi="仿宋" w:eastAsia="仿宋" w:cs="仿宋"/>
          <w:b/>
          <w:sz w:val="30"/>
        </w:rPr>
        <w:t>企业负责人为赵力</w:t>
      </w:r>
      <w:r>
        <w:rPr>
          <w:rFonts w:ascii="仿宋" w:hAnsi="仿宋" w:eastAsia="仿宋" w:cs="仿宋"/>
          <w:b w:val="0"/>
          <w:sz w:val="30"/>
        </w:rPr>
        <w:t>（原判第9—10页）；两公司同受中国铁建房地产集团有限公司100%控股（原判第10页）。另据A区备案表原件，"建设单位申请意见——同意中铁建（北京）物业管理有限公司中标"栏之"法定代表人（签章）"处</w:t>
      </w:r>
      <w:r>
        <w:rPr>
          <w:rFonts w:ascii="仿宋" w:hAnsi="仿宋" w:eastAsia="仿宋" w:cs="仿宋"/>
          <w:b/>
          <w:sz w:val="30"/>
        </w:rPr>
        <w:t>盖有赵力名章</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上诉人在此明确：本项属法律适用问题，若合议庭认为本案基本事实已经查清，请依本项直接改判；若认为事实尚需查明，则本项不影响第一至第八项的发回请求。</w:t>
      </w:r>
    </w:p>
    <w:p>
      <w:pPr>
        <w:spacing w:lineRule="exact" w:line="560" w:before="160" w:after="80"/>
      </w:pPr>
      <w:r>
        <w:rPr>
          <w:rFonts w:ascii="仿宋" w:hAnsi="仿宋" w:eastAsia="仿宋" w:cs="仿宋"/>
          <w:b/>
          <w:sz w:val="30"/>
        </w:rPr>
        <w:t>关于程序事项的请求</w:t>
      </w:r>
    </w:p>
    <w:p>
      <w:pPr>
        <w:spacing w:lineRule="exact" w:line="560" w:before="40" w:after="40"/>
        <w:ind w:firstLine="600"/>
        <w:jc w:val="both"/>
      </w:pPr>
      <w:r>
        <w:rPr>
          <w:rFonts w:ascii="仿宋" w:hAnsi="仿宋" w:eastAsia="仿宋" w:cs="仿宋"/>
          <w:b w:val="0"/>
          <w:sz w:val="30"/>
        </w:rPr>
        <w:t>一审庭审笔录第3页末段、第4页首段两次记载："</w:t>
      </w:r>
      <w:r>
        <w:rPr>
          <w:rFonts w:ascii="仿宋" w:hAnsi="仿宋" w:eastAsia="仿宋" w:cs="仿宋"/>
          <w:b/>
          <w:sz w:val="30"/>
        </w:rPr>
        <w:t>审：被告应于庭后五个工作日内向本院予以回复。</w:t>
      </w:r>
      <w:r>
        <w:rPr>
          <w:rFonts w:ascii="仿宋" w:hAnsi="仿宋" w:eastAsia="仿宋" w:cs="仿宋"/>
          <w:b w:val="0"/>
          <w:sz w:val="30"/>
        </w:rPr>
        <w:t>"两次指令的事项分别为：①代表被上诉人二在A区合同上签字的赵力在签约时担任何职位；②被上诉人一是否知晓同一份合同中中标方、招标方负责人均为赵力。被上诉人代理人两次均答"不清楚"。</w:t>
      </w:r>
    </w:p>
    <w:p>
      <w:pPr>
        <w:spacing w:lineRule="exact" w:line="560" w:before="40" w:after="40"/>
        <w:ind w:firstLine="600"/>
        <w:jc w:val="both"/>
      </w:pPr>
      <w:r>
        <w:rPr>
          <w:rFonts w:ascii="仿宋" w:hAnsi="仿宋" w:eastAsia="仿宋" w:cs="仿宋"/>
          <w:b/>
          <w:sz w:val="30"/>
        </w:rPr>
        <w:t>上诉人至今从未收到该等书面回复，亦从未对其质证。</w:t>
      </w:r>
    </w:p>
    <w:p>
      <w:pPr>
        <w:spacing w:lineRule="exact" w:line="560" w:before="40" w:after="40"/>
        <w:ind w:firstLine="600"/>
        <w:jc w:val="both"/>
      </w:pPr>
      <w:r>
        <w:rPr>
          <w:rFonts w:ascii="仿宋" w:hAnsi="仿宋" w:eastAsia="仿宋" w:cs="仿宋"/>
          <w:b w:val="0"/>
          <w:sz w:val="30"/>
        </w:rPr>
        <w:t>而原判第12页却以"</w:t>
      </w:r>
      <w:r>
        <w:rPr>
          <w:rFonts w:ascii="仿宋" w:hAnsi="仿宋" w:eastAsia="仿宋" w:cs="仿宋"/>
          <w:b/>
          <w:sz w:val="30"/>
        </w:rPr>
        <w:t>原告未举证证明该关联关系对招投标结果产生实质性影响</w:t>
      </w:r>
      <w:r>
        <w:rPr>
          <w:rFonts w:ascii="仿宋" w:hAnsi="仿宋" w:eastAsia="仿宋" w:cs="仿宋"/>
          <w:b w:val="0"/>
          <w:sz w:val="30"/>
        </w:rPr>
        <w:t>"为由，作出对上诉人不利的认定。</w:t>
      </w:r>
    </w:p>
    <w:p>
      <w:pPr>
        <w:spacing w:lineRule="exact" w:line="560" w:before="40" w:after="40"/>
        <w:ind w:firstLine="600"/>
        <w:jc w:val="both"/>
      </w:pPr>
      <w:r>
        <w:rPr>
          <w:rFonts w:ascii="仿宋" w:hAnsi="仿宋" w:eastAsia="仿宋" w:cs="仿宋"/>
          <w:b w:val="0"/>
          <w:sz w:val="30"/>
        </w:rPr>
        <w:t>恳请合议庭调阅一审卷宗，查明并记录：该两份回复是否提交、提交日期、是否向上诉人送达、是否组织质证。</w:t>
      </w:r>
    </w:p>
    <w:p>
      <w:pPr>
        <w:spacing w:lineRule="exact" w:line="560" w:before="40" w:after="40"/>
        <w:ind w:firstLine="600"/>
        <w:jc w:val="both"/>
      </w:pPr>
      <w:r>
        <w:rPr>
          <w:rFonts w:ascii="仿宋" w:hAnsi="仿宋" w:eastAsia="仿宋" w:cs="仿宋"/>
          <w:b/>
          <w:sz w:val="30"/>
        </w:rPr>
        <w:t>若已提交而未经质证</w:t>
      </w:r>
      <w:r>
        <w:rPr>
          <w:rFonts w:ascii="仿宋" w:hAnsi="仿宋" w:eastAsia="仿宋" w:cs="仿宋"/>
          <w:b w:val="0"/>
          <w:sz w:val="30"/>
        </w:rPr>
        <w:t>，依《民诉法解释》第一百零三条第一款"未经当事人质证的证据，不得作为认定案件事实的根据"处理；</w:t>
      </w:r>
      <w:r>
        <w:rPr>
          <w:rFonts w:ascii="仿宋" w:hAnsi="仿宋" w:eastAsia="仿宋" w:cs="仿宋"/>
          <w:b/>
          <w:sz w:val="30"/>
        </w:rPr>
        <w:t>若根本未提交</w:t>
      </w:r>
      <w:r>
        <w:rPr>
          <w:rFonts w:ascii="仿宋" w:hAnsi="仿宋" w:eastAsia="仿宋" w:cs="仿宋"/>
          <w:b w:val="0"/>
          <w:sz w:val="30"/>
        </w:rPr>
        <w:t>，则原审自认必要并两次限期要求补充的事实始终未获查明，却仍作出上述否定性认定，属认定基本事实不清，并涉及举证责任的分配错误。</w:t>
      </w:r>
    </w:p>
    <w:p>
      <w:pPr>
        <w:spacing w:lineRule="exact" w:line="560" w:before="160" w:after="80"/>
      </w:pPr>
      <w:r>
        <w:rPr>
          <w:rFonts w:ascii="仿宋" w:hAnsi="仿宋" w:eastAsia="仿宋" w:cs="仿宋"/>
          <w:b/>
          <w:sz w:val="30"/>
        </w:rPr>
        <w:t>结论</w:t>
      </w:r>
    </w:p>
    <w:p>
      <w:pPr>
        <w:spacing w:lineRule="exact" w:line="560" w:before="40" w:after="40"/>
        <w:ind w:firstLine="600"/>
        <w:jc w:val="both"/>
      </w:pPr>
      <w:r>
        <w:rPr>
          <w:rFonts w:ascii="仿宋" w:hAnsi="仿宋" w:eastAsia="仿宋" w:cs="仿宋"/>
          <w:b w:val="0"/>
          <w:sz w:val="30"/>
        </w:rPr>
        <w:t>原判的问题不是个别说理不充分。</w:t>
      </w:r>
      <w:r>
        <w:rPr>
          <w:rFonts w:ascii="仿宋" w:hAnsi="仿宋" w:eastAsia="仿宋" w:cs="仿宋"/>
          <w:b/>
          <w:sz w:val="30"/>
        </w:rPr>
        <w:t>它在两个独立的诉讼标的中只完成了其中一个的事实审理，在确定诉的利益范围的基本事实上作出了与在卷已质证证据相反的认定，对一份已被明确提出异议的关键证据只字未提，并在补正改变事实前提之后未重建其实体论证。</w:t>
      </w:r>
    </w:p>
    <w:p>
      <w:pPr>
        <w:spacing w:lineRule="exact" w:line="560" w:before="40" w:after="40"/>
        <w:ind w:firstLine="600"/>
        <w:jc w:val="both"/>
      </w:pPr>
      <w:r>
        <w:rPr>
          <w:rFonts w:ascii="仿宋" w:hAnsi="仿宋" w:eastAsia="仿宋" w:cs="仿宋"/>
          <w:b w:val="0"/>
          <w:sz w:val="30"/>
        </w:rPr>
        <w:t>二审若欲维持，必须自行首次查明B、C区合同的九项形成事实，并首次作出原判从未作出的实体判断——</w:t>
      </w:r>
      <w:r>
        <w:rPr>
          <w:rFonts w:ascii="仿宋" w:hAnsi="仿宋" w:eastAsia="仿宋" w:cs="仿宋"/>
          <w:b/>
          <w:sz w:val="30"/>
        </w:rPr>
        <w:t>这已不是"纠正瑕疵后维持"，而是在终审阶段代替一审完成核心审理，当事人就该诉讼标的的一审审级利益将因此丧失。</w:t>
      </w:r>
    </w:p>
    <w:p>
      <w:pPr>
        <w:spacing w:lineRule="exact" w:line="560" w:before="40" w:after="40"/>
        <w:ind w:firstLine="600"/>
        <w:jc w:val="both"/>
      </w:pPr>
      <w:r>
        <w:rPr>
          <w:rFonts w:ascii="仿宋" w:hAnsi="仿宋" w:eastAsia="仿宋" w:cs="仿宋"/>
          <w:b w:val="0"/>
          <w:sz w:val="30"/>
        </w:rPr>
        <w:t>据此，恳请合议庭依照《中华人民共和国民事诉讼法》第一百七十七条第一款第三项之规定，撤销原判，发回重审；如认为基本事实已经查清，则依第一款第二项改判确认案涉两份《前期物业服务合同》自始无效。</w:t>
      </w:r>
    </w:p>
    <w:p>
      <w:pPr>
        <w:spacing w:lineRule="exact" w:line="560" w:before="40" w:after="40"/>
        <w:ind w:firstLine="600"/>
        <w:jc w:val="both"/>
      </w:pPr>
      <w:r>
        <w:rPr>
          <w:rFonts w:ascii="仿宋" w:hAnsi="仿宋" w:eastAsia="仿宋" w:cs="仿宋"/>
          <w:b/>
          <w:sz w:val="30"/>
        </w:rPr>
        <w:t>此　致</w:t>
      </w:r>
    </w:p>
    <w:p>
      <w:pPr>
        <w:spacing w:lineRule="exact" w:line="560" w:before="40" w:after="40"/>
        <w:ind w:firstLine="600"/>
        <w:jc w:val="both"/>
      </w:pPr>
      <w:r>
        <w:rPr>
          <w:rFonts w:ascii="仿宋" w:hAnsi="仿宋" w:eastAsia="仿宋" w:cs="仿宋"/>
          <w:b/>
          <w:sz w:val="30"/>
        </w:rPr>
        <w:t>长沙市中级人民法院</w:t>
      </w:r>
    </w:p>
    <w:p>
      <w:pPr>
        <w:spacing w:lineRule="exact" w:line="560" w:before="40" w:after="40"/>
        <w:ind w:firstLine="600"/>
        <w:jc w:val="both"/>
      </w:pPr>
      <w:r>
        <w:rPr>
          <w:rFonts w:ascii="仿宋" w:hAnsi="仿宋" w:eastAsia="仿宋" w:cs="仿宋"/>
          <w:b/>
          <w:sz w:val="30"/>
        </w:rPr>
        <w:t>上诉人：李国平</w:t>
      </w:r>
    </w:p>
    <w:p>
      <w:pPr>
        <w:spacing w:lineRule="exact" w:line="560" w:before="40" w:after="40"/>
        <w:ind w:firstLine="600"/>
        <w:jc w:val="both"/>
      </w:pPr>
      <w:r>
        <w:rPr>
          <w:rFonts w:ascii="仿宋" w:hAnsi="仿宋" w:eastAsia="仿宋" w:cs="仿宋"/>
          <w:b/>
          <w:sz w:val="30"/>
        </w:rPr>
        <w:t>委托诉讼代理人：</w:t>
      </w:r>
    </w:p>
    <w:p>
      <w:pPr>
        <w:spacing w:lineRule="exact" w:line="560" w:before="40" w:after="40"/>
        <w:ind w:firstLine="600"/>
        <w:jc w:val="both"/>
      </w:pPr>
      <w:r>
        <w:rPr>
          <w:rFonts w:ascii="仿宋" w:hAnsi="仿宋" w:eastAsia="仿宋" w:cs="仿宋"/>
          <w:b/>
          <w:sz w:val="30"/>
        </w:rPr>
        <w:t>二〇二六年九月十日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