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100"/>
        <w:jc w:val="center"/>
      </w:pPr>
      <w:r>
        <w:rPr>
          <w:rFonts w:ascii="黑体" w:hAnsi="黑体" w:eastAsia="黑体"/>
          <w:b/>
          <w:sz w:val="34"/>
        </w:rPr>
        <w:t>2026年8月25日高院调查询问｜一页速览</w:t>
      </w:r>
    </w:p>
    <w:p>
      <w:pPr>
        <w:spacing w:after="80"/>
        <w:jc w:val="center"/>
      </w:pPr>
      <w:r>
        <w:rPr>
          <w:rFonts w:ascii="仿宋_GB2312" w:hAnsi="仿宋_GB2312" w:eastAsia="仿宋_GB2312"/>
          <w:sz w:val="17"/>
        </w:rPr>
        <w:t>（2026）湘01行初102号　｜　上诉人：李国平　｜　被上诉人：长沙市人民政府</w:t>
      </w:r>
    </w:p>
    <w:tbl>
      <w:tblPr>
        <w:tblW w:type="auto" w:w="0"/>
        <w:tblLayout w:type="fixed"/>
        <w:tblLook w:firstColumn="1" w:firstRow="1" w:lastColumn="0" w:lastRow="0" w:noHBand="0" w:noVBand="1" w:val="04A0"/>
      </w:tblPr>
      <w:tblGrid>
        <w:gridCol w:w="1701"/>
        <w:gridCol w:w="8107"/>
      </w:tblGrid>
      <w:tr>
        <w:tc>
          <w:tcPr>
            <w:tcW w:type="dxa" w:w="1701"/>
            <w:vAlign w:val="center"/>
            <w:shd w:fill="17365D"/>
            <w:tcMar>
              <w:top w:w="50" w:type="dxa"/>
              <w:start w:w="80" w:type="dxa"/>
              <w:bottom w:w="50" w:type="dxa"/>
              <w:end w:w="80" w:type="dxa"/>
            </w:tcMar>
          </w:tcPr>
          <w:p>
            <w:pPr>
              <w:spacing w:after="0"/>
              <w:jc w:val="center"/>
            </w:pPr>
            <w:r>
              <w:rPr>
                <w:rFonts w:ascii="黑体" w:hAnsi="黑体" w:eastAsia="黑体"/>
                <w:b/>
                <w:color w:val="FFFFFF"/>
                <w:sz w:val="18"/>
              </w:rPr>
              <w:t>核心问题</w:t>
            </w:r>
          </w:p>
        </w:tc>
        <w:tc>
          <w:tcPr>
            <w:tcW w:type="dxa" w:w="8107"/>
            <w:vAlign w:val="center"/>
            <w:shd w:fill="F3EFE4"/>
            <w:tcMar>
              <w:top w:w="50" w:type="dxa"/>
              <w:start w:w="90" w:type="dxa"/>
              <w:bottom w:w="50" w:type="dxa"/>
              <w:end w:w="90" w:type="dxa"/>
            </w:tcMar>
          </w:tcPr>
          <w:p>
            <w:pPr>
              <w:spacing w:line="247" w:lineRule="auto" w:after="0"/>
            </w:pPr>
            <w:r>
              <w:rPr>
                <w:rFonts w:ascii="宋体" w:hAnsi="宋体" w:eastAsia="宋体"/>
                <w:b w:val="0"/>
                <w:sz w:val="17"/>
              </w:rPr>
              <w:t>前期物业合同可以直接约束李国平接受特定物业服务并缴纳物业费；为什么李国平要求住建部门审查同一合同的招投标、签约和履行时，反而被认定没有法律上利害关系？共同性不能消灭个人具体利益。</w:t>
            </w:r>
          </w:p>
        </w:tc>
      </w:tr>
    </w:tbl>
    <w:p>
      <w:pPr>
        <w:spacing w:after="0" w:line="60" w:lineRule="auto"/>
      </w:pPr>
      <w:r>
        <w:t xml:space="preserve"> </w:t>
      </w:r>
    </w:p>
    <w:tbl>
      <w:tblPr>
        <w:tblW w:type="auto" w:w="0"/>
        <w:tblLayout w:type="fixed"/>
        <w:tblLook w:firstColumn="1" w:firstRow="1" w:lastColumn="0" w:lastRow="0" w:noHBand="0" w:noVBand="1" w:val="04A0"/>
      </w:tblPr>
      <w:tblGrid>
        <w:gridCol w:w="1701"/>
        <w:gridCol w:w="8107"/>
      </w:tblGrid>
      <w:tr>
        <w:tc>
          <w:tcPr>
            <w:tcW w:type="dxa" w:w="1701"/>
            <w:vAlign w:val="center"/>
            <w:shd w:fill="17365D"/>
            <w:tcMar>
              <w:top w:w="50" w:type="dxa"/>
              <w:start w:w="80" w:type="dxa"/>
              <w:bottom w:w="50" w:type="dxa"/>
              <w:end w:w="80" w:type="dxa"/>
            </w:tcMar>
          </w:tcPr>
          <w:p>
            <w:pPr>
              <w:spacing w:after="0"/>
              <w:jc w:val="center"/>
            </w:pPr>
            <w:r>
              <w:rPr>
                <w:rFonts w:ascii="黑体" w:hAnsi="黑体" w:eastAsia="黑体"/>
                <w:b/>
                <w:color w:val="FFFFFF"/>
                <w:sz w:val="18"/>
              </w:rPr>
              <w:t>三个事实</w:t>
            </w:r>
          </w:p>
        </w:tc>
        <w:tc>
          <w:tcPr>
            <w:tcW w:type="dxa" w:w="8107"/>
            <w:vAlign w:val="center"/>
            <w:shd w:fill="F3EFE4"/>
            <w:tcMar>
              <w:top w:w="50" w:type="dxa"/>
              <w:start w:w="90" w:type="dxa"/>
              <w:bottom w:w="50" w:type="dxa"/>
              <w:end w:w="90" w:type="dxa"/>
            </w:tcMar>
          </w:tcPr>
          <w:p>
            <w:pPr>
              <w:spacing w:line="247" w:lineRule="auto" w:after="0"/>
            </w:pPr>
            <w:r>
              <w:rPr>
                <w:rFonts w:ascii="宋体" w:hAnsi="宋体" w:eastAsia="宋体"/>
                <w:b w:val="0"/>
                <w:sz w:val="17"/>
              </w:rPr>
              <w:t>① 李国平系山语城三期12栋503业主。② A区、B/C区合同均约定住宅物业费2.2元/月·㎡，并规定服务、期限、共有部位管理和缴费责任。③ 市住建局《回复》已对邀请招标、总分公司安排及合同约束作实体判断；992号决定与102号裁定却在资格阶段终结救济。</w:t>
            </w:r>
          </w:p>
        </w:tc>
      </w:tr>
    </w:tbl>
    <w:p>
      <w:pPr>
        <w:spacing w:after="0" w:line="60" w:lineRule="auto"/>
      </w:pPr>
      <w:r>
        <w:t xml:space="preserve"> </w:t>
      </w:r>
    </w:p>
    <w:tbl>
      <w:tblPr>
        <w:tblW w:type="auto" w:w="0"/>
        <w:tblLayout w:type="fixed"/>
        <w:tblLook w:firstColumn="1" w:firstRow="1" w:lastColumn="0" w:lastRow="0" w:noHBand="0" w:noVBand="1" w:val="04A0"/>
      </w:tblPr>
      <w:tblGrid>
        <w:gridCol w:w="1701"/>
        <w:gridCol w:w="8107"/>
      </w:tblGrid>
      <w:tr>
        <w:tc>
          <w:tcPr>
            <w:tcW w:type="dxa" w:w="1701"/>
            <w:vAlign w:val="center"/>
            <w:shd w:fill="17365D"/>
            <w:tcMar>
              <w:top w:w="50" w:type="dxa"/>
              <w:start w:w="80" w:type="dxa"/>
              <w:bottom w:w="50" w:type="dxa"/>
              <w:end w:w="80" w:type="dxa"/>
            </w:tcMar>
          </w:tcPr>
          <w:p>
            <w:pPr>
              <w:spacing w:after="0"/>
              <w:jc w:val="center"/>
            </w:pPr>
            <w:r>
              <w:rPr>
                <w:rFonts w:ascii="黑体" w:hAnsi="黑体" w:eastAsia="黑体"/>
                <w:b/>
                <w:color w:val="FFFFFF"/>
                <w:sz w:val="18"/>
              </w:rPr>
              <w:t>两个裁判</w:t>
            </w:r>
          </w:p>
        </w:tc>
        <w:tc>
          <w:tcPr>
            <w:tcW w:type="dxa" w:w="8107"/>
            <w:vAlign w:val="center"/>
            <w:shd w:fill="F3EFE4"/>
            <w:tcMar>
              <w:top w:w="50" w:type="dxa"/>
              <w:start w:w="90" w:type="dxa"/>
              <w:bottom w:w="50" w:type="dxa"/>
              <w:end w:w="90" w:type="dxa"/>
            </w:tcMar>
          </w:tcPr>
          <w:p>
            <w:pPr>
              <w:spacing w:line="247" w:lineRule="auto" w:after="0"/>
            </w:pPr>
            <w:r>
              <w:rPr>
                <w:rFonts w:ascii="宋体" w:hAnsi="宋体" w:eastAsia="宋体"/>
                <w:b w:val="0"/>
                <w:sz w:val="17"/>
              </w:rPr>
              <w:t>27046号民事一审：确认李国平因承受服务与缴费义务，与合同有直接利害关系；实体请求另被驳回，已上诉。374号行政一审：明确确认李国平对同一项目前期物业合同备案监管答复有法律上利害关系，随后才实体审查并驳回。两案现有材料均未证明生效。</w:t>
            </w:r>
          </w:p>
        </w:tc>
      </w:tr>
    </w:tbl>
    <w:p>
      <w:pPr>
        <w:spacing w:after="0" w:line="60" w:lineRule="auto"/>
      </w:pPr>
      <w:r>
        <w:t xml:space="preserve"> </w:t>
      </w:r>
    </w:p>
    <w:tbl>
      <w:tblPr>
        <w:tblW w:type="auto" w:w="0"/>
        <w:tblLayout w:type="fixed"/>
        <w:tblLook w:firstColumn="1" w:firstRow="1" w:lastColumn="0" w:lastRow="0" w:noHBand="0" w:noVBand="1" w:val="04A0"/>
      </w:tblPr>
      <w:tblGrid>
        <w:gridCol w:w="1701"/>
        <w:gridCol w:w="8107"/>
      </w:tblGrid>
      <w:tr>
        <w:tc>
          <w:tcPr>
            <w:tcW w:type="dxa" w:w="1701"/>
            <w:vAlign w:val="center"/>
            <w:shd w:fill="17365D"/>
            <w:tcMar>
              <w:top w:w="50" w:type="dxa"/>
              <w:start w:w="80" w:type="dxa"/>
              <w:bottom w:w="50" w:type="dxa"/>
              <w:end w:w="80" w:type="dxa"/>
            </w:tcMar>
          </w:tcPr>
          <w:p>
            <w:pPr>
              <w:spacing w:after="0"/>
              <w:jc w:val="center"/>
            </w:pPr>
            <w:r>
              <w:rPr>
                <w:rFonts w:ascii="黑体" w:hAnsi="黑体" w:eastAsia="黑体"/>
                <w:b/>
                <w:color w:val="FFFFFF"/>
                <w:sz w:val="18"/>
              </w:rPr>
              <w:t>四个矛盾</w:t>
            </w:r>
          </w:p>
        </w:tc>
        <w:tc>
          <w:tcPr>
            <w:tcW w:type="dxa" w:w="8107"/>
            <w:vAlign w:val="center"/>
            <w:shd w:fill="F3EFE4"/>
            <w:tcMar>
              <w:top w:w="50" w:type="dxa"/>
              <w:start w:w="90" w:type="dxa"/>
              <w:bottom w:w="50" w:type="dxa"/>
              <w:end w:w="90" w:type="dxa"/>
            </w:tcMar>
          </w:tcPr>
          <w:p>
            <w:pPr>
              <w:spacing w:line="247" w:lineRule="auto" w:after="0"/>
            </w:pPr>
            <w:r>
              <w:rPr>
                <w:rFonts w:ascii="宋体" w:hAnsi="宋体" w:eastAsia="宋体"/>
                <w:b w:val="0"/>
                <w:sz w:val="17"/>
              </w:rPr>
              <w:t>① 面积：94153.03㎡＋234602.58㎡＝328755.61㎡，27046号却记载30060.52㎡；两合同四至基本相同。② 日期：B/C区扫描件为8月31日，庭审称备案资料为5月31日，《回复》称2016年5月。③ 主体：北京总公司中标，长沙分公司签约履约，授权及中标允许范围未完整展示。④ 底卷：尚未见三家以上邀请、全部投标、评委组成及评标报告等完整原始材料。</w:t>
            </w:r>
          </w:p>
        </w:tc>
      </w:tr>
    </w:tbl>
    <w:p>
      <w:pPr>
        <w:spacing w:after="0" w:line="60" w:lineRule="auto"/>
      </w:pPr>
      <w:r>
        <w:t xml:space="preserve"> </w:t>
      </w:r>
    </w:p>
    <w:tbl>
      <w:tblPr>
        <w:tblW w:type="auto" w:w="0"/>
        <w:tblLayout w:type="fixed"/>
        <w:tblLook w:firstColumn="1" w:firstRow="1" w:lastColumn="0" w:lastRow="0" w:noHBand="0" w:noVBand="1" w:val="04A0"/>
      </w:tblPr>
      <w:tblGrid>
        <w:gridCol w:w="1701"/>
        <w:gridCol w:w="8107"/>
      </w:tblGrid>
      <w:tr>
        <w:tc>
          <w:tcPr>
            <w:tcW w:type="dxa" w:w="1701"/>
            <w:vAlign w:val="center"/>
            <w:shd w:fill="17365D"/>
            <w:tcMar>
              <w:top w:w="50" w:type="dxa"/>
              <w:start w:w="80" w:type="dxa"/>
              <w:bottom w:w="50" w:type="dxa"/>
              <w:end w:w="80" w:type="dxa"/>
            </w:tcMar>
          </w:tcPr>
          <w:p>
            <w:pPr>
              <w:spacing w:after="0"/>
              <w:jc w:val="center"/>
            </w:pPr>
            <w:r>
              <w:rPr>
                <w:rFonts w:ascii="黑体" w:hAnsi="黑体" w:eastAsia="黑体"/>
                <w:b/>
                <w:color w:val="FFFFFF"/>
                <w:sz w:val="18"/>
              </w:rPr>
              <w:t>二审请求</w:t>
            </w:r>
          </w:p>
        </w:tc>
        <w:tc>
          <w:tcPr>
            <w:tcW w:type="dxa" w:w="8107"/>
            <w:vAlign w:val="center"/>
            <w:shd w:fill="F3EFE4"/>
            <w:tcMar>
              <w:top w:w="50" w:type="dxa"/>
              <w:start w:w="90" w:type="dxa"/>
              <w:bottom w:w="50" w:type="dxa"/>
              <w:end w:w="90" w:type="dxa"/>
            </w:tcMar>
          </w:tcPr>
          <w:p>
            <w:pPr>
              <w:spacing w:line="247" w:lineRule="auto" w:after="0"/>
            </w:pPr>
            <w:r>
              <w:rPr>
                <w:rFonts w:ascii="宋体" w:hAnsi="宋体" w:eastAsia="宋体"/>
                <w:b w:val="0"/>
                <w:sz w:val="17"/>
              </w:rPr>
              <w:t>严格依已提交上诉状：撤销（2026）湘01行初102号行政裁定，指令长沙市中级人民法院继续审理本案，本案依法产生的诉讼费用由被上诉人承担。</w:t>
            </w:r>
          </w:p>
        </w:tc>
      </w:tr>
    </w:tbl>
    <w:p>
      <w:pPr>
        <w:spacing w:after="0" w:line="60" w:lineRule="auto"/>
      </w:pPr>
      <w:r>
        <w:t xml:space="preserve"> </w:t>
      </w:r>
    </w:p>
    <w:p>
      <w:pPr>
        <w:spacing w:before="40" w:after="0" w:line="245" w:lineRule="auto"/>
        <w:jc w:val="center"/>
      </w:pPr>
      <w:r>
        <w:rPr>
          <w:rFonts w:ascii="黑体" w:hAnsi="黑体" w:eastAsia="黑体"/>
          <w:b/>
          <w:color w:val="A4482A"/>
          <w:sz w:val="18"/>
        </w:rPr>
        <w:t>请法庭正面回答：本案与27046号、374号案在“李国平本人所受前期物业法律关系影响”上，究竟有何实质区别？</w:t>
      </w:r>
    </w:p>
    <w:sectPr w:rsidR="00FC693F" w:rsidRPr="0006063C" w:rsidSect="00034616">
      <w:footerReference w:type="default" r:id="rId9"/>
      <w:pgSz w:w="11906" w:h="16838"/>
      <w:pgMar w:top="709" w:right="794" w:bottom="709" w:left="794" w:header="227"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仿宋_GB2312" w:hAnsi="仿宋_GB2312" w:eastAsia="仿宋_GB2312"/>
        <w:sz w:val="21"/>
      </w:rPr>
      <w:t xml:space="preserve">第 </w:t>
      <w:fldChar w:fldCharType="begin"/>
      <w:instrText xml:space="preserve">PAGE</w:instrText>
      <w:fldChar w:fldCharType="separate"/>
      <w:t>1</w:t>
      <w:fldChar w:fldCharType="end"/>
    </w:r>
    <w:r>
      <w:rPr>
        <w:rFonts w:ascii="仿宋_GB2312" w:hAnsi="仿宋_GB2312" w:eastAsia="仿宋_GB2312"/>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2" w:lineRule="auto"/>
    </w:pPr>
    <w:rPr>
      <w:rFonts w:ascii="仿宋_GB2312" w:hAnsi="仿宋_GB2312" w:eastAsia="仿宋_GB2312"/>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李国平825高院调查询问法官一页速览</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